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9436D" w14:textId="77777777" w:rsidR="00E422D3" w:rsidRDefault="00E422D3" w:rsidP="004F4B5A"/>
    <w:p w14:paraId="6320664B" w14:textId="6901A8B0" w:rsidR="00427579" w:rsidRDefault="00CA0DBA" w:rsidP="004F4B5A">
      <w:pPr>
        <w:rPr>
          <w:sz w:val="40"/>
          <w:szCs w:val="32"/>
        </w:rPr>
      </w:pPr>
      <w:r w:rsidRPr="00CA0DBA">
        <w:rPr>
          <w:sz w:val="40"/>
          <w:szCs w:val="32"/>
        </w:rPr>
        <w:t xml:space="preserve">The </w:t>
      </w:r>
      <w:r>
        <w:rPr>
          <w:sz w:val="40"/>
          <w:szCs w:val="32"/>
        </w:rPr>
        <w:t>I</w:t>
      </w:r>
      <w:r w:rsidRPr="00CA0DBA">
        <w:rPr>
          <w:sz w:val="40"/>
          <w:szCs w:val="32"/>
        </w:rPr>
        <w:t xml:space="preserve">mpact of </w:t>
      </w:r>
      <w:r>
        <w:rPr>
          <w:sz w:val="40"/>
          <w:szCs w:val="32"/>
        </w:rPr>
        <w:t>A</w:t>
      </w:r>
      <w:r w:rsidRPr="00CA0DBA">
        <w:rPr>
          <w:sz w:val="40"/>
          <w:szCs w:val="32"/>
        </w:rPr>
        <w:t xml:space="preserve">ttribute </w:t>
      </w:r>
      <w:r>
        <w:rPr>
          <w:sz w:val="40"/>
          <w:szCs w:val="32"/>
        </w:rPr>
        <w:t>H</w:t>
      </w:r>
      <w:r w:rsidRPr="00CA0DBA">
        <w:rPr>
          <w:sz w:val="40"/>
          <w:szCs w:val="32"/>
        </w:rPr>
        <w:t xml:space="preserve">ierarchies’ </w:t>
      </w:r>
      <w:r>
        <w:rPr>
          <w:sz w:val="40"/>
          <w:szCs w:val="32"/>
        </w:rPr>
        <w:t>D</w:t>
      </w:r>
      <w:r w:rsidRPr="00CA0DBA">
        <w:rPr>
          <w:sz w:val="40"/>
          <w:szCs w:val="32"/>
        </w:rPr>
        <w:t xml:space="preserve">istribution on </w:t>
      </w:r>
      <w:r>
        <w:rPr>
          <w:sz w:val="40"/>
          <w:szCs w:val="32"/>
        </w:rPr>
        <w:t>D</w:t>
      </w:r>
      <w:r w:rsidRPr="00CA0DBA">
        <w:rPr>
          <w:sz w:val="40"/>
          <w:szCs w:val="32"/>
        </w:rPr>
        <w:t xml:space="preserve">iagnostic </w:t>
      </w:r>
      <w:r>
        <w:rPr>
          <w:sz w:val="40"/>
          <w:szCs w:val="32"/>
        </w:rPr>
        <w:t>C</w:t>
      </w:r>
      <w:r w:rsidRPr="00CA0DBA">
        <w:rPr>
          <w:sz w:val="40"/>
          <w:szCs w:val="32"/>
        </w:rPr>
        <w:t xml:space="preserve">lassification </w:t>
      </w:r>
      <w:r>
        <w:rPr>
          <w:sz w:val="40"/>
          <w:szCs w:val="32"/>
        </w:rPr>
        <w:t>A</w:t>
      </w:r>
      <w:r w:rsidRPr="00CA0DBA">
        <w:rPr>
          <w:sz w:val="40"/>
          <w:szCs w:val="32"/>
        </w:rPr>
        <w:t>ccuracy</w:t>
      </w:r>
    </w:p>
    <w:p w14:paraId="5D763773" w14:textId="795FBC2E" w:rsidR="00427579" w:rsidRDefault="00655302" w:rsidP="004F4B5A">
      <w:pPr>
        <w:rPr>
          <w:szCs w:val="32"/>
        </w:rPr>
      </w:pPr>
      <w:r>
        <w:rPr>
          <w:szCs w:val="32"/>
        </w:rPr>
        <w:t>Chia-Ling Hsu</w:t>
      </w:r>
      <w:r w:rsidR="00427579" w:rsidRPr="00D96814">
        <w:rPr>
          <w:szCs w:val="32"/>
          <w:vertAlign w:val="superscript"/>
        </w:rPr>
        <w:t>*</w:t>
      </w:r>
      <w:r w:rsidR="00427579" w:rsidRPr="00D96814">
        <w:rPr>
          <w:rFonts w:ascii="Cambria" w:eastAsia="Cambria" w:hAnsi="Cambria" w:cs="Cambria"/>
          <w:sz w:val="32"/>
          <w:szCs w:val="32"/>
          <w:vertAlign w:val="superscript"/>
        </w:rPr>
        <w:t xml:space="preserve">† </w:t>
      </w:r>
      <w:r w:rsidR="00B53C3F" w:rsidRPr="00B53C3F">
        <w:rPr>
          <w:szCs w:val="32"/>
        </w:rPr>
        <w:t xml:space="preserve">(ORCID: </w:t>
      </w:r>
      <w:hyperlink r:id="rId7" w:history="1">
        <w:r w:rsidR="00B53C3F" w:rsidRPr="000E2A46">
          <w:rPr>
            <w:rStyle w:val="Hyperlink"/>
            <w:szCs w:val="32"/>
          </w:rPr>
          <w:t>https://orcid.org/0000-0002-4267-0980</w:t>
        </w:r>
      </w:hyperlink>
      <w:r w:rsidR="00B53C3F" w:rsidRPr="00B53C3F">
        <w:rPr>
          <w:szCs w:val="32"/>
        </w:rPr>
        <w:t>)</w:t>
      </w:r>
      <w:r w:rsidR="00B53C3F" w:rsidRPr="00B53C3F">
        <w:rPr>
          <w:rFonts w:ascii="Cambria" w:eastAsia="Cambria" w:hAnsi="Cambria" w:cs="Cambria"/>
          <w:sz w:val="32"/>
          <w:szCs w:val="32"/>
          <w:vertAlign w:val="superscript"/>
        </w:rPr>
        <w:t xml:space="preserve"> </w:t>
      </w:r>
      <w:r w:rsidRPr="00D96814">
        <w:rPr>
          <w:szCs w:val="32"/>
        </w:rPr>
        <w:t>and</w:t>
      </w:r>
      <w:r w:rsidRPr="00655302">
        <w:rPr>
          <w:szCs w:val="32"/>
        </w:rPr>
        <w:t xml:space="preserve"> Yi-Jhen Wu</w:t>
      </w:r>
      <w:r w:rsidR="00427579" w:rsidRPr="00D96814">
        <w:rPr>
          <w:rFonts w:ascii="Cambria" w:eastAsia="Cambria" w:hAnsi="Cambria" w:cs="Cambria"/>
          <w:sz w:val="32"/>
          <w:szCs w:val="32"/>
          <w:vertAlign w:val="superscript"/>
        </w:rPr>
        <w:t xml:space="preserve">‡ </w:t>
      </w:r>
      <w:r w:rsidR="00427579">
        <w:rPr>
          <w:szCs w:val="32"/>
        </w:rPr>
        <w:br/>
      </w:r>
      <w:r w:rsidR="00427579" w:rsidRPr="00D96814">
        <w:rPr>
          <w:rFonts w:ascii="Cambria" w:eastAsia="Cambria" w:hAnsi="Cambria" w:cs="Cambria"/>
          <w:sz w:val="20"/>
          <w:szCs w:val="32"/>
        </w:rPr>
        <w:t>†</w:t>
      </w:r>
      <w:r w:rsidRPr="00655302">
        <w:t xml:space="preserve"> </w:t>
      </w:r>
      <w:r w:rsidRPr="00655302">
        <w:rPr>
          <w:sz w:val="18"/>
          <w:szCs w:val="32"/>
        </w:rPr>
        <w:t>Hong Kong Examinations and Assessment Authority, Hong Kong</w:t>
      </w:r>
      <w:r w:rsidRPr="00655302">
        <w:rPr>
          <w:rFonts w:ascii="Cambria" w:eastAsia="Cambria" w:hAnsi="Cambria" w:cs="Cambria"/>
          <w:sz w:val="20"/>
          <w:szCs w:val="32"/>
        </w:rPr>
        <w:t xml:space="preserve"> </w:t>
      </w:r>
      <w:r>
        <w:rPr>
          <w:sz w:val="18"/>
          <w:szCs w:val="32"/>
        </w:rPr>
        <w:t>SAR</w:t>
      </w:r>
      <w:r w:rsidR="00FE4F6B">
        <w:rPr>
          <w:sz w:val="18"/>
          <w:szCs w:val="32"/>
        </w:rPr>
        <w:t>, China</w:t>
      </w:r>
      <w:r w:rsidR="00427579">
        <w:rPr>
          <w:sz w:val="18"/>
          <w:szCs w:val="32"/>
        </w:rPr>
        <w:br/>
      </w:r>
      <w:r w:rsidR="00427579" w:rsidRPr="00D96814">
        <w:rPr>
          <w:rFonts w:ascii="Cambria" w:eastAsia="Cambria" w:hAnsi="Cambria" w:cs="Cambria"/>
          <w:sz w:val="20"/>
          <w:szCs w:val="32"/>
        </w:rPr>
        <w:t>‡</w:t>
      </w:r>
      <w:r w:rsidRPr="00655302">
        <w:t xml:space="preserve"> </w:t>
      </w:r>
      <w:r w:rsidRPr="00655302">
        <w:rPr>
          <w:sz w:val="18"/>
          <w:szCs w:val="32"/>
        </w:rPr>
        <w:t>Center for Research on Education and School Development, Technical University Dortmund</w:t>
      </w:r>
      <w:r>
        <w:rPr>
          <w:sz w:val="18"/>
          <w:szCs w:val="32"/>
        </w:rPr>
        <w:t xml:space="preserve">, </w:t>
      </w:r>
      <w:r w:rsidRPr="00655302">
        <w:rPr>
          <w:sz w:val="18"/>
          <w:szCs w:val="32"/>
        </w:rPr>
        <w:t>Germany</w:t>
      </w:r>
      <w:r w:rsidR="00427579">
        <w:rPr>
          <w:sz w:val="18"/>
          <w:szCs w:val="32"/>
        </w:rPr>
        <w:br/>
      </w:r>
      <w:r w:rsidR="00427579" w:rsidRPr="00D96814">
        <w:rPr>
          <w:sz w:val="18"/>
          <w:szCs w:val="32"/>
        </w:rPr>
        <w:t xml:space="preserve">*Corresponding author. Email: </w:t>
      </w:r>
      <w:hyperlink r:id="rId8" w:history="1">
        <w:r w:rsidRPr="0078472A">
          <w:rPr>
            <w:rStyle w:val="Hyperlink"/>
            <w:sz w:val="18"/>
            <w:szCs w:val="32"/>
          </w:rPr>
          <w:t>clhsu@hkeaa.edu.hk</w:t>
        </w:r>
      </w:hyperlink>
      <w:r>
        <w:rPr>
          <w:sz w:val="18"/>
          <w:szCs w:val="32"/>
        </w:rPr>
        <w:t xml:space="preserve"> </w:t>
      </w:r>
      <w:r w:rsidR="00427579">
        <w:rPr>
          <w:sz w:val="18"/>
          <w:szCs w:val="32"/>
        </w:rPr>
        <w:br/>
      </w:r>
    </w:p>
    <w:tbl>
      <w:tblPr>
        <w:tblStyle w:val="TableGrid"/>
        <w:tblpPr w:leftFromText="180" w:rightFromText="180" w:vertAnchor="text" w:horzAnchor="margin" w:tblpY="134"/>
        <w:tblW w:w="9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568"/>
      </w:tblGrid>
      <w:tr w:rsidR="00427579" w14:paraId="24A85341" w14:textId="77777777" w:rsidTr="00BF7EBD">
        <w:trPr>
          <w:trHeight w:val="1995"/>
        </w:trPr>
        <w:tc>
          <w:tcPr>
            <w:tcW w:w="9568" w:type="dxa"/>
            <w:shd w:val="clear" w:color="auto" w:fill="D9D9D9" w:themeFill="background1" w:themeFillShade="D9"/>
            <w:vAlign w:val="center"/>
          </w:tcPr>
          <w:p w14:paraId="2BAA8B82" w14:textId="77777777" w:rsidR="00427579" w:rsidRPr="004A75F0" w:rsidRDefault="00427579" w:rsidP="004F4B5A">
            <w:pPr>
              <w:pStyle w:val="Heading2"/>
              <w:spacing w:after="19"/>
              <w:ind w:left="34" w:right="29"/>
              <w:jc w:val="both"/>
              <w:outlineLvl w:val="1"/>
              <w:rPr>
                <w:rFonts w:ascii="Calibri" w:hAnsi="Calibri" w:cs="Calibri"/>
                <w:b/>
                <w:bCs/>
                <w:sz w:val="22"/>
                <w:szCs w:val="22"/>
              </w:rPr>
            </w:pPr>
            <w:r w:rsidRPr="004A75F0">
              <w:rPr>
                <w:rFonts w:ascii="Calibri" w:hAnsi="Calibri" w:cs="Calibri"/>
                <w:b/>
                <w:bCs/>
                <w:color w:val="000000" w:themeColor="text1"/>
                <w:sz w:val="22"/>
                <w:szCs w:val="22"/>
              </w:rPr>
              <w:t>Abstract</w:t>
            </w:r>
          </w:p>
          <w:p w14:paraId="48B6B771" w14:textId="00EEB4A9" w:rsidR="00427579" w:rsidRPr="004A75F0" w:rsidRDefault="00655302" w:rsidP="004F4B5A">
            <w:pPr>
              <w:spacing w:after="353" w:line="248" w:lineRule="auto"/>
              <w:ind w:left="34" w:right="29"/>
              <w:jc w:val="both"/>
              <w:rPr>
                <w:rFonts w:ascii="Calibri" w:hAnsi="Calibri" w:cs="Calibri"/>
                <w:sz w:val="22"/>
                <w:szCs w:val="32"/>
              </w:rPr>
            </w:pPr>
            <w:r w:rsidRPr="004A75F0">
              <w:rPr>
                <w:rFonts w:ascii="Calibri" w:hAnsi="Calibri" w:cs="Calibri"/>
                <w:sz w:val="22"/>
                <w:szCs w:val="22"/>
              </w:rPr>
              <w:t xml:space="preserve">Cognitive </w:t>
            </w:r>
            <w:r w:rsidR="005C3718">
              <w:rPr>
                <w:rFonts w:ascii="Calibri" w:hAnsi="Calibri" w:cs="Calibri"/>
                <w:sz w:val="22"/>
                <w:szCs w:val="22"/>
              </w:rPr>
              <w:t>d</w:t>
            </w:r>
            <w:r w:rsidRPr="004A75F0">
              <w:rPr>
                <w:rFonts w:ascii="Calibri" w:hAnsi="Calibri" w:cs="Calibri"/>
                <w:sz w:val="22"/>
                <w:szCs w:val="22"/>
              </w:rPr>
              <w:t xml:space="preserve">iagnostic </w:t>
            </w:r>
            <w:r w:rsidR="005C3718">
              <w:rPr>
                <w:rFonts w:ascii="Calibri" w:hAnsi="Calibri" w:cs="Calibri"/>
                <w:sz w:val="22"/>
                <w:szCs w:val="22"/>
              </w:rPr>
              <w:t>m</w:t>
            </w:r>
            <w:r w:rsidRPr="004A75F0">
              <w:rPr>
                <w:rFonts w:ascii="Calibri" w:hAnsi="Calibri" w:cs="Calibri"/>
                <w:sz w:val="22"/>
                <w:szCs w:val="22"/>
              </w:rPr>
              <w:t xml:space="preserve">odels (CDMs) give detailed information about how well examinees’ grasp a set of fine-grained, discrete, latent skills/attributes. This information allows researchers and teachers to tailor instruction and craft cost-effective interventions to improve student learning. While learning, a student typically masters lower-level skills before a higher-level skill, which suggests four hierarchical attribute structures: linear, convergent, divergent, and unstructured (Leighton et al., 2024). Past studies assumed that all students within a sample have the same </w:t>
            </w:r>
            <w:r w:rsidR="00D21542">
              <w:rPr>
                <w:rFonts w:ascii="Calibri" w:hAnsi="Calibri" w:cs="Calibri"/>
                <w:sz w:val="22"/>
                <w:szCs w:val="22"/>
              </w:rPr>
              <w:t>hierarchical</w:t>
            </w:r>
            <w:r w:rsidRPr="004A75F0">
              <w:rPr>
                <w:rFonts w:ascii="Calibri" w:hAnsi="Calibri" w:cs="Calibri"/>
                <w:sz w:val="22"/>
                <w:szCs w:val="22"/>
              </w:rPr>
              <w:t xml:space="preserve"> structure (e.g., linear structure for primary school students’ learning of arithmetic). However, students’ learning processes can vary widely and yield different hierarchical attribute structures. Recognizing this possibility, this study ran simulations to test how well cognitive diagnostic models classified students across hierarchical attribute structures. The findings revealed that the distribution of these structures impacted classification accuracy. More candidate hierarchical attribute structures for classifying students yielded greater accuracy.</w:t>
            </w:r>
          </w:p>
        </w:tc>
      </w:tr>
    </w:tbl>
    <w:p w14:paraId="0E9E5A3D" w14:textId="40D5511B" w:rsidR="00427579" w:rsidRPr="00205D0A" w:rsidRDefault="00420347" w:rsidP="004F4B5A">
      <w:pPr>
        <w:rPr>
          <w:rFonts w:cs="Times New Roman"/>
          <w:sz w:val="18"/>
          <w:szCs w:val="32"/>
        </w:rPr>
      </w:pPr>
      <w:r>
        <w:rPr>
          <w:rFonts w:ascii="Calibri" w:eastAsia="Calibri" w:hAnsi="Calibri" w:cs="Calibri"/>
          <w:b/>
          <w:sz w:val="18"/>
          <w:szCs w:val="32"/>
        </w:rPr>
        <w:br/>
      </w:r>
      <w:r w:rsidR="00427579" w:rsidRPr="00924E62">
        <w:rPr>
          <w:rFonts w:ascii="Calibri" w:eastAsia="Calibri" w:hAnsi="Calibri" w:cs="Calibri"/>
          <w:b/>
          <w:sz w:val="18"/>
          <w:szCs w:val="32"/>
        </w:rPr>
        <w:t>Keywords:</w:t>
      </w:r>
      <w:r w:rsidR="00427579" w:rsidRPr="00205D0A">
        <w:rPr>
          <w:rFonts w:eastAsia="Calibri" w:cs="Times New Roman"/>
          <w:b/>
          <w:sz w:val="18"/>
          <w:szCs w:val="32"/>
        </w:rPr>
        <w:t xml:space="preserve"> </w:t>
      </w:r>
      <w:r w:rsidR="00655302" w:rsidRPr="00924E62">
        <w:rPr>
          <w:rFonts w:cs="Times New Roman"/>
          <w:sz w:val="18"/>
          <w:szCs w:val="32"/>
        </w:rPr>
        <w:t>cognitive diagnostic model, attribute structure, classification accuracy, misspecification, diagnostic measurement</w:t>
      </w:r>
    </w:p>
    <w:p w14:paraId="588ADD75" w14:textId="77777777" w:rsidR="00420347" w:rsidRPr="00655302" w:rsidRDefault="00420347" w:rsidP="004F4B5A">
      <w:pPr>
        <w:rPr>
          <w:rFonts w:ascii="Times New Roman" w:hAnsi="Times New Roman" w:cs="Times New Roman"/>
          <w:szCs w:val="32"/>
        </w:rPr>
      </w:pPr>
    </w:p>
    <w:p w14:paraId="77C43A43" w14:textId="089C8C14" w:rsidR="00427579" w:rsidRPr="00924E62" w:rsidRDefault="00427579" w:rsidP="004F4B5A">
      <w:pPr>
        <w:jc w:val="both"/>
        <w:rPr>
          <w:rFonts w:ascii="Calibri" w:hAnsi="Calibri" w:cs="Calibri"/>
          <w:b/>
          <w:bCs/>
          <w:sz w:val="24"/>
          <w:szCs w:val="24"/>
        </w:rPr>
      </w:pPr>
      <w:r w:rsidRPr="00924E62">
        <w:rPr>
          <w:rFonts w:ascii="Calibri" w:hAnsi="Calibri" w:cs="Calibri"/>
          <w:b/>
          <w:bCs/>
          <w:sz w:val="24"/>
          <w:szCs w:val="32"/>
        </w:rPr>
        <w:t>1.</w:t>
      </w:r>
      <w:r w:rsidRPr="00924E62">
        <w:rPr>
          <w:rFonts w:ascii="Calibri" w:hAnsi="Calibri" w:cs="Calibri"/>
          <w:b/>
          <w:bCs/>
          <w:sz w:val="24"/>
          <w:szCs w:val="32"/>
        </w:rPr>
        <w:tab/>
      </w:r>
      <w:r w:rsidR="00655302" w:rsidRPr="00924E62">
        <w:rPr>
          <w:rFonts w:ascii="Calibri" w:hAnsi="Calibri" w:cs="Calibri"/>
          <w:b/>
          <w:bCs/>
          <w:sz w:val="24"/>
          <w:szCs w:val="24"/>
        </w:rPr>
        <w:t>Introduction</w:t>
      </w:r>
    </w:p>
    <w:p w14:paraId="6B8F63B6" w14:textId="28D1A711" w:rsidR="00655302" w:rsidRPr="00924E62" w:rsidRDefault="00655302" w:rsidP="004F4B5A">
      <w:pPr>
        <w:jc w:val="both"/>
        <w:rPr>
          <w:rFonts w:cs="Times New Roman"/>
        </w:rPr>
      </w:pPr>
      <w:r w:rsidRPr="00924E62">
        <w:rPr>
          <w:rFonts w:cs="Times New Roman"/>
        </w:rPr>
        <w:t>Cognitive diagnostic models (CDMs; Rupp et al., 2010) analyze responses to test questions/items to reveal whether each person has mastered specific fine-grained latent skills (also known as attributes). This information helps teachers adapt their curricula, course materials</w:t>
      </w:r>
      <w:r w:rsidR="005C3718">
        <w:rPr>
          <w:rFonts w:cs="Times New Roman"/>
        </w:rPr>
        <w:t>,</w:t>
      </w:r>
      <w:r w:rsidRPr="00924E62">
        <w:rPr>
          <w:rFonts w:cs="Times New Roman"/>
        </w:rPr>
        <w:t xml:space="preserve"> and teaching methods to meet their students</w:t>
      </w:r>
      <w:r w:rsidR="00345241">
        <w:rPr>
          <w:rFonts w:cs="Times New Roman"/>
        </w:rPr>
        <w:t>’</w:t>
      </w:r>
      <w:r w:rsidRPr="00924E62">
        <w:rPr>
          <w:rFonts w:cs="Times New Roman"/>
        </w:rPr>
        <w:t xml:space="preserve"> needs. Initially, CDMs sought to identify which skills a student had mastered, but now, they also aim to grasp how students learn these skill</w:t>
      </w:r>
      <w:r w:rsidR="00345241">
        <w:rPr>
          <w:rFonts w:cs="Times New Roman"/>
        </w:rPr>
        <w:t>s</w:t>
      </w:r>
      <w:r w:rsidRPr="00924E62">
        <w:rPr>
          <w:rFonts w:cs="Times New Roman"/>
        </w:rPr>
        <w:t xml:space="preserve"> in sequence, which </w:t>
      </w:r>
      <w:r w:rsidR="00BE5F93">
        <w:rPr>
          <w:rFonts w:cs="Times New Roman"/>
        </w:rPr>
        <w:t xml:space="preserve">has </w:t>
      </w:r>
      <w:r w:rsidRPr="00924E62">
        <w:rPr>
          <w:rFonts w:cs="Times New Roman"/>
        </w:rPr>
        <w:t>dr</w:t>
      </w:r>
      <w:r w:rsidR="00BE5F93">
        <w:rPr>
          <w:rFonts w:cs="Times New Roman"/>
        </w:rPr>
        <w:t>iven</w:t>
      </w:r>
      <w:r w:rsidRPr="00924E62">
        <w:rPr>
          <w:rFonts w:cs="Times New Roman"/>
        </w:rPr>
        <w:t xml:space="preserve"> the development of hierarchical CDMs (HCDMs) to map out these learning paths (Leighton et al., 2004).</w:t>
      </w:r>
    </w:p>
    <w:p w14:paraId="2978FF0A" w14:textId="5A46EF4A" w:rsidR="00427579" w:rsidRPr="00924E62" w:rsidRDefault="00655302" w:rsidP="004F4B5A">
      <w:pPr>
        <w:ind w:firstLine="720"/>
        <w:jc w:val="both"/>
        <w:rPr>
          <w:rFonts w:cs="Times New Roman"/>
        </w:rPr>
      </w:pPr>
      <w:r w:rsidRPr="00924E62">
        <w:rPr>
          <w:rFonts w:cs="Times New Roman"/>
        </w:rPr>
        <w:t>Prior studies examined the effects of misspecified hierarchical structures on parameter estimation and classification accuracy (e.g., Liu, 2018; Liu et al., 2016; Templin et al., 2008). Although past models often assumed that all students follow</w:t>
      </w:r>
      <w:r w:rsidR="00C54ADE">
        <w:rPr>
          <w:rFonts w:cs="Times New Roman"/>
        </w:rPr>
        <w:t>ed</w:t>
      </w:r>
      <w:r w:rsidRPr="00924E62">
        <w:rPr>
          <w:rFonts w:cs="Times New Roman"/>
        </w:rPr>
        <w:t xml:space="preserve"> the same learning path, their actual paths c</w:t>
      </w:r>
      <w:r w:rsidR="00C54ADE">
        <w:rPr>
          <w:rFonts w:cs="Times New Roman"/>
        </w:rPr>
        <w:t>ould</w:t>
      </w:r>
      <w:r w:rsidRPr="00924E62">
        <w:rPr>
          <w:rFonts w:cs="Times New Roman"/>
        </w:rPr>
        <w:t xml:space="preserve"> differ (mixture of hierarchical attribute structures), which </w:t>
      </w:r>
      <w:r w:rsidR="00C54ADE">
        <w:rPr>
          <w:rFonts w:cs="Times New Roman"/>
        </w:rPr>
        <w:t>led to</w:t>
      </w:r>
      <w:r w:rsidRPr="00924E62">
        <w:rPr>
          <w:rFonts w:cs="Times New Roman"/>
        </w:rPr>
        <w:t xml:space="preserve"> inaccurate classifications. To address this shortcoming, we ran simulations to assess how mixed attribute hierarchies within a sample affect classification accuracy in CDMs. After a brief overview of CDMs and </w:t>
      </w:r>
      <w:r w:rsidR="0029494A">
        <w:rPr>
          <w:rFonts w:cs="Times New Roman"/>
        </w:rPr>
        <w:t xml:space="preserve">the </w:t>
      </w:r>
      <w:r w:rsidRPr="00924E62">
        <w:rPr>
          <w:rFonts w:cs="Times New Roman"/>
        </w:rPr>
        <w:t>hierarchical structure of attributes, we lay out the simulation design. Then, we report our findings, and discuss their implications.</w:t>
      </w:r>
    </w:p>
    <w:p w14:paraId="754CB4D6" w14:textId="47709D1C" w:rsidR="006C2045" w:rsidRPr="00924E62" w:rsidRDefault="006C2045" w:rsidP="004F4B5A">
      <w:pPr>
        <w:jc w:val="both"/>
        <w:rPr>
          <w:rFonts w:ascii="Calibri" w:hAnsi="Calibri" w:cs="Calibri"/>
          <w:b/>
          <w:bCs/>
          <w:sz w:val="24"/>
          <w:szCs w:val="24"/>
        </w:rPr>
      </w:pPr>
      <w:r w:rsidRPr="00924E62">
        <w:rPr>
          <w:rFonts w:ascii="Calibri" w:hAnsi="Calibri" w:cs="Calibri"/>
          <w:b/>
          <w:bCs/>
          <w:sz w:val="24"/>
          <w:szCs w:val="24"/>
        </w:rPr>
        <w:lastRenderedPageBreak/>
        <w:t>2.</w:t>
      </w:r>
      <w:r w:rsidRPr="00924E62">
        <w:rPr>
          <w:rFonts w:ascii="Calibri" w:hAnsi="Calibri" w:cs="Calibri"/>
          <w:b/>
          <w:bCs/>
          <w:sz w:val="24"/>
          <w:szCs w:val="24"/>
        </w:rPr>
        <w:tab/>
      </w:r>
      <w:r w:rsidR="00655302" w:rsidRPr="00924E62">
        <w:rPr>
          <w:rFonts w:ascii="Calibri" w:hAnsi="Calibri" w:cs="Calibri"/>
          <w:b/>
          <w:bCs/>
          <w:sz w:val="24"/>
          <w:szCs w:val="24"/>
        </w:rPr>
        <w:t>Cognitive diagnostic models (CDMs)</w:t>
      </w:r>
    </w:p>
    <w:p w14:paraId="0FA94105" w14:textId="1515298B" w:rsidR="00427579" w:rsidRPr="00924E62" w:rsidRDefault="00655302" w:rsidP="004F4B5A">
      <w:pPr>
        <w:jc w:val="both"/>
        <w:rPr>
          <w:rFonts w:cs="Times New Roman"/>
        </w:rPr>
      </w:pPr>
      <w:r w:rsidRPr="00924E62">
        <w:rPr>
          <w:rFonts w:cs="Times New Roman"/>
        </w:rPr>
        <w:t xml:space="preserve">In CDMs, a Q-matrix defines the links between items and attributes through an item-to-attribute mapping </w:t>
      </w:r>
      <w:r w:rsidRPr="00924E62">
        <w:rPr>
          <w:rFonts w:cs="Times New Roman"/>
          <w:i/>
          <w:iCs/>
        </w:rPr>
        <w:t xml:space="preserve">J </w:t>
      </w:r>
      <w:r w:rsidRPr="00924E62">
        <w:rPr>
          <w:rFonts w:cs="Times New Roman"/>
        </w:rPr>
        <w:t xml:space="preserve">× </w:t>
      </w:r>
      <w:r w:rsidRPr="00924E62">
        <w:rPr>
          <w:rFonts w:cs="Times New Roman"/>
          <w:i/>
          <w:iCs/>
        </w:rPr>
        <w:t>K</w:t>
      </w:r>
      <w:r w:rsidRPr="00924E62">
        <w:rPr>
          <w:rFonts w:cs="Times New Roman"/>
        </w:rPr>
        <w:t xml:space="preserve"> matrix (</w:t>
      </w:r>
      <w:proofErr w:type="spellStart"/>
      <w:r w:rsidRPr="00924E62">
        <w:rPr>
          <w:rFonts w:cs="Times New Roman"/>
        </w:rPr>
        <w:t>Tatsuoka</w:t>
      </w:r>
      <w:proofErr w:type="spellEnd"/>
      <w:r w:rsidRPr="00924E62">
        <w:rPr>
          <w:rFonts w:cs="Times New Roman"/>
        </w:rPr>
        <w:t xml:space="preserve">, 1983). </w:t>
      </w:r>
      <w:r w:rsidRPr="00924E62">
        <w:rPr>
          <w:rFonts w:cs="Times New Roman"/>
          <w:i/>
          <w:iCs/>
        </w:rPr>
        <w:t>J</w:t>
      </w:r>
      <w:r w:rsidRPr="00924E62">
        <w:rPr>
          <w:rFonts w:cs="Times New Roman"/>
        </w:rPr>
        <w:t xml:space="preserve"> is the number of items (</w:t>
      </w:r>
      <w:r w:rsidRPr="00924E62">
        <w:rPr>
          <w:rFonts w:cs="Times New Roman"/>
          <w:i/>
          <w:iCs/>
        </w:rPr>
        <w:t>j</w:t>
      </w:r>
      <w:r w:rsidRPr="00924E62">
        <w:rPr>
          <w:rFonts w:cs="Times New Roman"/>
        </w:rPr>
        <w:t>=</w:t>
      </w:r>
      <w:proofErr w:type="gramStart"/>
      <w:r w:rsidRPr="00924E62">
        <w:rPr>
          <w:rFonts w:cs="Times New Roman"/>
        </w:rPr>
        <w:t>1,…</w:t>
      </w:r>
      <w:proofErr w:type="gramEnd"/>
      <w:r w:rsidRPr="00924E62">
        <w:rPr>
          <w:rFonts w:cs="Times New Roman"/>
        </w:rPr>
        <w:t xml:space="preserve">, </w:t>
      </w:r>
      <w:r w:rsidRPr="00924E62">
        <w:rPr>
          <w:rFonts w:cs="Times New Roman"/>
          <w:i/>
          <w:iCs/>
        </w:rPr>
        <w:t>J</w:t>
      </w:r>
      <w:r w:rsidRPr="00924E62">
        <w:rPr>
          <w:rFonts w:cs="Times New Roman"/>
        </w:rPr>
        <w:t xml:space="preserve">), and </w:t>
      </w:r>
      <w:r w:rsidRPr="00924E62">
        <w:rPr>
          <w:rFonts w:cs="Times New Roman"/>
          <w:i/>
          <w:iCs/>
        </w:rPr>
        <w:t>K</w:t>
      </w:r>
      <w:r w:rsidRPr="00924E62">
        <w:rPr>
          <w:rFonts w:cs="Times New Roman"/>
        </w:rPr>
        <w:t xml:space="preserve"> is the number of attributes (</w:t>
      </w:r>
      <w:r w:rsidRPr="00924E62">
        <w:rPr>
          <w:rFonts w:cs="Times New Roman"/>
          <w:i/>
          <w:iCs/>
        </w:rPr>
        <w:t>k</w:t>
      </w:r>
      <w:r w:rsidRPr="00924E62">
        <w:rPr>
          <w:rFonts w:cs="Times New Roman"/>
        </w:rPr>
        <w:t xml:space="preserve">=1,…, </w:t>
      </w:r>
      <w:r w:rsidRPr="00924E62">
        <w:rPr>
          <w:rFonts w:cs="Times New Roman"/>
          <w:i/>
          <w:iCs/>
        </w:rPr>
        <w:t>K</w:t>
      </w:r>
      <w:r w:rsidRPr="00924E62">
        <w:rPr>
          <w:rFonts w:cs="Times New Roman"/>
        </w:rPr>
        <w:t xml:space="preserve">). Each Q-matrix element </w:t>
      </w:r>
      <w:proofErr w:type="spellStart"/>
      <w:r w:rsidRPr="00924E62">
        <w:rPr>
          <w:rFonts w:cs="Times New Roman"/>
          <w:i/>
          <w:iCs/>
        </w:rPr>
        <w:t>q</w:t>
      </w:r>
      <w:r w:rsidRPr="00924E62">
        <w:rPr>
          <w:rFonts w:cs="Times New Roman"/>
          <w:i/>
          <w:iCs/>
          <w:vertAlign w:val="subscript"/>
        </w:rPr>
        <w:t>jk</w:t>
      </w:r>
      <w:proofErr w:type="spellEnd"/>
      <w:r w:rsidRPr="00924E62">
        <w:rPr>
          <w:rFonts w:cs="Times New Roman"/>
        </w:rPr>
        <w:t xml:space="preserve"> specifies whether the </w:t>
      </w:r>
      <w:r w:rsidRPr="00924E62">
        <w:rPr>
          <w:rFonts w:cs="Times New Roman"/>
          <w:i/>
          <w:iCs/>
        </w:rPr>
        <w:t>k</w:t>
      </w:r>
      <w:r w:rsidRPr="00924E62">
        <w:rPr>
          <w:rFonts w:cs="Times New Roman"/>
          <w:vertAlign w:val="superscript"/>
        </w:rPr>
        <w:t xml:space="preserve">th </w:t>
      </w:r>
      <w:r w:rsidRPr="00924E62">
        <w:rPr>
          <w:rFonts w:cs="Times New Roman"/>
        </w:rPr>
        <w:t>attribute is required to solve the</w:t>
      </w:r>
      <w:r w:rsidRPr="00924E62">
        <w:rPr>
          <w:rFonts w:cs="Times New Roman"/>
          <w:i/>
          <w:iCs/>
        </w:rPr>
        <w:t xml:space="preserve"> </w:t>
      </w:r>
      <w:proofErr w:type="spellStart"/>
      <w:r w:rsidRPr="00924E62">
        <w:rPr>
          <w:rFonts w:cs="Times New Roman"/>
          <w:i/>
          <w:iCs/>
        </w:rPr>
        <w:t>j</w:t>
      </w:r>
      <w:r w:rsidRPr="00924E62">
        <w:rPr>
          <w:rFonts w:cs="Times New Roman"/>
          <w:vertAlign w:val="superscript"/>
        </w:rPr>
        <w:t>th</w:t>
      </w:r>
      <w:proofErr w:type="spellEnd"/>
      <w:r w:rsidRPr="00924E62">
        <w:rPr>
          <w:rFonts w:cs="Times New Roman"/>
        </w:rPr>
        <w:t xml:space="preserve"> item correctly: if yes, </w:t>
      </w:r>
      <w:proofErr w:type="spellStart"/>
      <w:r w:rsidRPr="00924E62">
        <w:rPr>
          <w:rFonts w:cs="Times New Roman"/>
          <w:i/>
          <w:iCs/>
        </w:rPr>
        <w:t>q</w:t>
      </w:r>
      <w:r w:rsidRPr="00924E62">
        <w:rPr>
          <w:rFonts w:cs="Times New Roman"/>
          <w:i/>
          <w:iCs/>
          <w:vertAlign w:val="subscript"/>
        </w:rPr>
        <w:t>jk</w:t>
      </w:r>
      <w:proofErr w:type="spellEnd"/>
      <w:r w:rsidRPr="00924E62">
        <w:rPr>
          <w:rFonts w:cs="Times New Roman"/>
        </w:rPr>
        <w:t xml:space="preserve"> = 1, otherwise, </w:t>
      </w:r>
      <w:proofErr w:type="spellStart"/>
      <w:r w:rsidRPr="00924E62">
        <w:rPr>
          <w:rFonts w:cs="Times New Roman"/>
          <w:i/>
          <w:iCs/>
        </w:rPr>
        <w:t>q</w:t>
      </w:r>
      <w:r w:rsidRPr="00924E62">
        <w:rPr>
          <w:rFonts w:cs="Times New Roman"/>
          <w:i/>
          <w:iCs/>
          <w:vertAlign w:val="subscript"/>
        </w:rPr>
        <w:t>jk</w:t>
      </w:r>
      <w:proofErr w:type="spellEnd"/>
      <w:r w:rsidRPr="00924E62">
        <w:rPr>
          <w:rFonts w:cs="Times New Roman"/>
        </w:rPr>
        <w:t xml:space="preserve"> = 0. </w:t>
      </w:r>
      <w:r w:rsidRPr="00924E62">
        <w:rPr>
          <w:rFonts w:eastAsiaTheme="minorEastAsia" w:cs="Times New Roman"/>
        </w:rPr>
        <w:t xml:space="preserve">Also, </w:t>
      </w:r>
      <w:r w:rsidRPr="00924E62">
        <w:rPr>
          <w:rFonts w:cs="Times New Roman"/>
        </w:rPr>
        <w:t xml:space="preserve">the vector </w:t>
      </w:r>
      <m:oMath>
        <m:sSub>
          <m:sSubPr>
            <m:ctrlPr>
              <w:rPr>
                <w:rFonts w:ascii="Cambria Math" w:hAnsi="Cambria Math" w:cs="Times New Roman"/>
                <w:i/>
              </w:rPr>
            </m:ctrlPr>
          </m:sSubPr>
          <m:e>
            <m:r>
              <m:rPr>
                <m:sty m:val="bi"/>
              </m:rPr>
              <w:rPr>
                <w:rFonts w:ascii="Cambria Math" w:hAnsi="Cambria Math" w:cs="Times New Roman"/>
              </w:rPr>
              <m:t>α</m:t>
            </m:r>
          </m:e>
          <m:sub>
            <m:r>
              <w:rPr>
                <w:rFonts w:ascii="Cambria Math" w:hAnsi="Cambria Math" w:cs="Times New Roman"/>
              </w:rPr>
              <m:t>i</m:t>
            </m:r>
          </m:sub>
        </m:sSub>
      </m:oMath>
      <w:r w:rsidRPr="00924E62">
        <w:rPr>
          <w:rFonts w:eastAsiaTheme="minorEastAsia" w:cs="Times New Roman"/>
        </w:rPr>
        <w:t>= </w:t>
      </w:r>
      <m:oMath>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α</m:t>
            </m:r>
          </m:e>
          <m:sub>
            <m:r>
              <w:rPr>
                <w:rFonts w:ascii="Cambria Math" w:eastAsiaTheme="minorEastAsia" w:hAnsi="Cambria Math" w:cs="Times New Roman"/>
              </w:rPr>
              <m:t>i1</m:t>
            </m:r>
          </m:sub>
        </m:sSub>
        <m:r>
          <w:rPr>
            <w:rFonts w:ascii="Cambria Math" w:eastAsiaTheme="minorEastAsia" w:hAnsi="Cambria Math" w:cs="Times New Roman"/>
          </w:rPr>
          <m:t>,</m:t>
        </m:r>
        <m:sSub>
          <m:sSubPr>
            <m:ctrlPr>
              <w:rPr>
                <w:rFonts w:ascii="Cambria Math" w:eastAsiaTheme="minorEastAsia" w:hAnsi="Cambria Math" w:cs="Times New Roman"/>
                <w:i/>
              </w:rPr>
            </m:ctrlPr>
          </m:sSubPr>
          <m:e>
            <m:r>
              <w:rPr>
                <w:rFonts w:ascii="Cambria Math" w:eastAsiaTheme="minorEastAsia" w:hAnsi="Cambria Math" w:cs="Times New Roman"/>
              </w:rPr>
              <m:t>α</m:t>
            </m:r>
          </m:e>
          <m:sub>
            <m:r>
              <w:rPr>
                <w:rFonts w:ascii="Cambria Math" w:eastAsiaTheme="minorEastAsia" w:hAnsi="Cambria Math" w:cs="Times New Roman"/>
              </w:rPr>
              <m:t>i2</m:t>
            </m:r>
          </m:sub>
        </m:sSub>
        <m:r>
          <w:rPr>
            <w:rFonts w:ascii="Cambria Math" w:eastAsiaTheme="minorEastAsia" w:hAnsi="Cambria Math" w:cs="Times New Roman"/>
          </w:rPr>
          <m:t xml:space="preserve">, …, </m:t>
        </m:r>
        <m:sSub>
          <m:sSubPr>
            <m:ctrlPr>
              <w:rPr>
                <w:rFonts w:ascii="Cambria Math" w:eastAsiaTheme="minorEastAsia" w:hAnsi="Cambria Math" w:cs="Times New Roman"/>
                <w:i/>
              </w:rPr>
            </m:ctrlPr>
          </m:sSubPr>
          <m:e>
            <m:r>
              <w:rPr>
                <w:rFonts w:ascii="Cambria Math" w:eastAsiaTheme="minorEastAsia" w:hAnsi="Cambria Math" w:cs="Times New Roman"/>
              </w:rPr>
              <m:t>α</m:t>
            </m:r>
          </m:e>
          <m:sub>
            <m:r>
              <w:rPr>
                <w:rFonts w:ascii="Cambria Math" w:eastAsiaTheme="minorEastAsia" w:hAnsi="Cambria Math" w:cs="Times New Roman"/>
              </w:rPr>
              <m:t>iK</m:t>
            </m:r>
          </m:sub>
        </m:sSub>
        <m:r>
          <w:rPr>
            <w:rFonts w:ascii="Cambria Math" w:eastAsiaTheme="minorEastAsia" w:hAnsi="Cambria Math" w:cs="Times New Roman"/>
          </w:rPr>
          <m:t>)</m:t>
        </m:r>
      </m:oMath>
      <w:r w:rsidRPr="00924E62">
        <w:rPr>
          <w:rFonts w:eastAsiaTheme="minorEastAsia" w:cs="Times New Roman"/>
        </w:rPr>
        <w:t xml:space="preserve"> captures individual mastery of each attribute (</w:t>
      </w:r>
      <w:r w:rsidRPr="00924E62">
        <w:rPr>
          <w:rFonts w:cs="Times New Roman"/>
        </w:rPr>
        <w:t xml:space="preserve">also known as </w:t>
      </w:r>
      <w:r w:rsidRPr="00924E62">
        <w:rPr>
          <w:rFonts w:cs="Times New Roman"/>
          <w:i/>
        </w:rPr>
        <w:t>attribute profile</w:t>
      </w:r>
      <w:r w:rsidRPr="00924E62">
        <w:rPr>
          <w:rFonts w:cs="Times New Roman"/>
        </w:rPr>
        <w:t>)</w:t>
      </w:r>
      <w:r w:rsidRPr="00924E62">
        <w:rPr>
          <w:rFonts w:eastAsiaTheme="minorEastAsia" w:cs="Times New Roman"/>
        </w:rPr>
        <w:t xml:space="preserve">. If the </w:t>
      </w:r>
      <w:proofErr w:type="spellStart"/>
      <w:r w:rsidRPr="00924E62">
        <w:rPr>
          <w:rFonts w:eastAsiaTheme="minorEastAsia" w:cs="Times New Roman"/>
          <w:i/>
          <w:iCs/>
        </w:rPr>
        <w:t>i</w:t>
      </w:r>
      <w:r w:rsidRPr="00924E62">
        <w:rPr>
          <w:rFonts w:eastAsiaTheme="minorEastAsia" w:cs="Times New Roman"/>
          <w:vertAlign w:val="superscript"/>
        </w:rPr>
        <w:t>th</w:t>
      </w:r>
      <w:proofErr w:type="spellEnd"/>
      <w:r w:rsidRPr="00924E62">
        <w:rPr>
          <w:rFonts w:eastAsiaTheme="minorEastAsia" w:cs="Times New Roman"/>
        </w:rPr>
        <w:t xml:space="preserve"> individual has mastered the </w:t>
      </w:r>
      <w:r w:rsidRPr="00924E62">
        <w:rPr>
          <w:rFonts w:eastAsiaTheme="minorEastAsia" w:cs="Times New Roman"/>
          <w:i/>
          <w:iCs/>
        </w:rPr>
        <w:t>k</w:t>
      </w:r>
      <w:r w:rsidRPr="00924E62">
        <w:rPr>
          <w:rFonts w:eastAsiaTheme="minorEastAsia" w:cs="Times New Roman"/>
          <w:vertAlign w:val="superscript"/>
        </w:rPr>
        <w:t xml:space="preserve">th </w:t>
      </w:r>
      <w:r w:rsidRPr="00924E62">
        <w:rPr>
          <w:rFonts w:eastAsiaTheme="minorEastAsia" w:cs="Times New Roman"/>
        </w:rPr>
        <w:t xml:space="preserve">attribute, </w:t>
      </w:r>
      <m:oMath>
        <m:sSub>
          <m:sSubPr>
            <m:ctrlPr>
              <w:rPr>
                <w:rFonts w:ascii="Cambria Math" w:eastAsiaTheme="minorEastAsia" w:hAnsi="Cambria Math" w:cs="Times New Roman"/>
                <w:i/>
              </w:rPr>
            </m:ctrlPr>
          </m:sSubPr>
          <m:e>
            <m:r>
              <w:rPr>
                <w:rFonts w:ascii="Cambria Math" w:eastAsiaTheme="minorEastAsia" w:hAnsi="Cambria Math" w:cs="Times New Roman"/>
              </w:rPr>
              <m:t>α</m:t>
            </m:r>
          </m:e>
          <m:sub>
            <m:r>
              <w:rPr>
                <w:rFonts w:ascii="Cambria Math" w:eastAsiaTheme="minorEastAsia" w:hAnsi="Cambria Math" w:cs="Times New Roman"/>
              </w:rPr>
              <m:t>ik</m:t>
            </m:r>
          </m:sub>
        </m:sSub>
      </m:oMath>
      <w:r w:rsidRPr="00924E62">
        <w:rPr>
          <w:rFonts w:eastAsiaTheme="minorEastAsia" w:cs="Times New Roman"/>
        </w:rPr>
        <w:t xml:space="preserve"> = 1; otherwise,</w:t>
      </w:r>
      <w:r w:rsidRPr="00924E62">
        <w:rPr>
          <w:rFonts w:eastAsiaTheme="minorEastAsia" w:cs="Times New Roman"/>
          <w:i/>
        </w:rPr>
        <w:t xml:space="preserve"> </w:t>
      </w:r>
      <m:oMath>
        <m:sSub>
          <m:sSubPr>
            <m:ctrlPr>
              <w:rPr>
                <w:rFonts w:ascii="Cambria Math" w:eastAsiaTheme="minorEastAsia" w:hAnsi="Cambria Math" w:cs="Times New Roman"/>
                <w:i/>
              </w:rPr>
            </m:ctrlPr>
          </m:sSubPr>
          <m:e>
            <m:r>
              <w:rPr>
                <w:rFonts w:ascii="Cambria Math" w:eastAsiaTheme="minorEastAsia" w:hAnsi="Cambria Math" w:cs="Times New Roman"/>
              </w:rPr>
              <m:t>α</m:t>
            </m:r>
          </m:e>
          <m:sub>
            <m:r>
              <w:rPr>
                <w:rFonts w:ascii="Cambria Math" w:eastAsiaTheme="minorEastAsia" w:hAnsi="Cambria Math" w:cs="Times New Roman"/>
              </w:rPr>
              <m:t>ik</m:t>
            </m:r>
          </m:sub>
        </m:sSub>
      </m:oMath>
      <w:r w:rsidRPr="00924E62">
        <w:rPr>
          <w:rFonts w:eastAsiaTheme="minorEastAsia" w:cs="Times New Roman"/>
        </w:rPr>
        <w:t xml:space="preserve"> = 0.</w:t>
      </w:r>
    </w:p>
    <w:p w14:paraId="653422D1" w14:textId="4E4A1FDC" w:rsidR="00655302" w:rsidRPr="00924E62" w:rsidRDefault="00655302" w:rsidP="004F4B5A">
      <w:pPr>
        <w:spacing w:after="0" w:line="360" w:lineRule="auto"/>
        <w:ind w:firstLine="708"/>
        <w:contextualSpacing/>
        <w:jc w:val="both"/>
        <w:rPr>
          <w:rFonts w:cs="Times New Roman"/>
        </w:rPr>
      </w:pPr>
      <w:r w:rsidRPr="00924E62">
        <w:rPr>
          <w:rFonts w:cs="Times New Roman"/>
        </w:rPr>
        <w:t xml:space="preserve">In this study, we used the </w:t>
      </w:r>
      <w:r w:rsidRPr="00924E62">
        <w:rPr>
          <w:rFonts w:cs="Times New Roman"/>
          <w:i/>
          <w:iCs/>
        </w:rPr>
        <w:t>deterministic inputs, noisy “AND” gate</w:t>
      </w:r>
      <w:r w:rsidRPr="00924E62">
        <w:rPr>
          <w:rFonts w:cs="Times New Roman"/>
        </w:rPr>
        <w:t xml:space="preserve"> (DINA) model (</w:t>
      </w:r>
      <w:bookmarkStart w:id="0" w:name="_Hlk193899320"/>
      <w:r w:rsidRPr="00924E62">
        <w:rPr>
          <w:rFonts w:cs="Times New Roman"/>
        </w:rPr>
        <w:t xml:space="preserve">Junker &amp; </w:t>
      </w:r>
      <w:proofErr w:type="spellStart"/>
      <w:r w:rsidRPr="00924E62">
        <w:rPr>
          <w:rFonts w:cs="Times New Roman"/>
        </w:rPr>
        <w:t>Sijtsma</w:t>
      </w:r>
      <w:proofErr w:type="spellEnd"/>
      <w:r w:rsidRPr="00924E62">
        <w:rPr>
          <w:rFonts w:cs="Times New Roman"/>
        </w:rPr>
        <w:t>, 2001</w:t>
      </w:r>
      <w:bookmarkEnd w:id="0"/>
      <w:r w:rsidRPr="00924E62">
        <w:rPr>
          <w:rFonts w:cs="Times New Roman"/>
        </w:rPr>
        <w:t xml:space="preserve">) to examine how mixed attribute hierarchies affect classification accuracy. The DINA model assumes that </w:t>
      </w:r>
      <w:r w:rsidR="00320DF2" w:rsidRPr="00924E62">
        <w:rPr>
          <w:rFonts w:cs="Times New Roman"/>
        </w:rPr>
        <w:t>correct</w:t>
      </w:r>
      <w:r w:rsidR="00320DF2">
        <w:rPr>
          <w:rFonts w:cs="Times New Roman"/>
        </w:rPr>
        <w:t>ly</w:t>
      </w:r>
      <w:r w:rsidR="00320DF2" w:rsidRPr="00924E62">
        <w:rPr>
          <w:rFonts w:cs="Times New Roman"/>
        </w:rPr>
        <w:t xml:space="preserve"> answer</w:t>
      </w:r>
      <w:r w:rsidR="00320DF2">
        <w:rPr>
          <w:rFonts w:cs="Times New Roman"/>
        </w:rPr>
        <w:t xml:space="preserve">ing </w:t>
      </w:r>
      <w:r w:rsidRPr="00924E62">
        <w:rPr>
          <w:rFonts w:cs="Times New Roman"/>
        </w:rPr>
        <w:t>a</w:t>
      </w:r>
      <w:r w:rsidR="00320DF2">
        <w:rPr>
          <w:rFonts w:cs="Times New Roman"/>
        </w:rPr>
        <w:t>n item</w:t>
      </w:r>
      <w:r w:rsidRPr="00924E62">
        <w:rPr>
          <w:rFonts w:cs="Times New Roman"/>
        </w:rPr>
        <w:t xml:space="preserve"> requires mastery of all its specified attributes. In this framework, a latent response vector of the </w:t>
      </w:r>
      <w:proofErr w:type="spellStart"/>
      <w:r w:rsidRPr="00924E62">
        <w:rPr>
          <w:rFonts w:cs="Times New Roman"/>
          <w:i/>
          <w:iCs/>
        </w:rPr>
        <w:t>j</w:t>
      </w:r>
      <w:r w:rsidRPr="00924E62">
        <w:rPr>
          <w:rFonts w:cs="Times New Roman"/>
          <w:vertAlign w:val="superscript"/>
        </w:rPr>
        <w:t>th</w:t>
      </w:r>
      <w:proofErr w:type="spellEnd"/>
      <w:r w:rsidRPr="00924E62">
        <w:rPr>
          <w:rFonts w:cs="Times New Roman"/>
        </w:rPr>
        <w:t xml:space="preserve"> item for the </w:t>
      </w:r>
      <w:proofErr w:type="spellStart"/>
      <w:r w:rsidRPr="00924E62">
        <w:rPr>
          <w:rFonts w:cs="Times New Roman"/>
          <w:i/>
          <w:iCs/>
        </w:rPr>
        <w:t>i</w:t>
      </w:r>
      <w:r w:rsidRPr="00924E62">
        <w:rPr>
          <w:rFonts w:cs="Times New Roman"/>
          <w:vertAlign w:val="superscript"/>
        </w:rPr>
        <w:t>th</w:t>
      </w:r>
      <w:proofErr w:type="spellEnd"/>
      <w:r w:rsidRPr="00924E62">
        <w:rPr>
          <w:rFonts w:cs="Times New Roman"/>
        </w:rPr>
        <w:t xml:space="preserve"> individual is defined as </w:t>
      </w:r>
      <m:oMath>
        <m:sSub>
          <m:sSubPr>
            <m:ctrlPr>
              <w:rPr>
                <w:rFonts w:ascii="Cambria Math" w:hAnsi="Cambria Math" w:cs="Times New Roman"/>
                <w:i/>
              </w:rPr>
            </m:ctrlPr>
          </m:sSubPr>
          <m:e>
            <m:r>
              <m:rPr>
                <m:sty m:val="bi"/>
              </m:rPr>
              <w:rPr>
                <w:rFonts w:ascii="Cambria Math" w:hAnsi="Cambria Math" w:cs="Times New Roman"/>
              </w:rPr>
              <m:t>η</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η</m:t>
            </m:r>
          </m:e>
          <m:sub>
            <m:r>
              <w:rPr>
                <w:rFonts w:ascii="Cambria Math" w:hAnsi="Cambria Math" w:cs="Times New Roman"/>
              </w:rPr>
              <m:t>i1</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η</m:t>
            </m:r>
          </m:e>
          <m:sub>
            <m:r>
              <w:rPr>
                <w:rFonts w:ascii="Cambria Math" w:hAnsi="Cambria Math" w:cs="Times New Roman"/>
              </w:rPr>
              <m:t>i2</m:t>
            </m:r>
          </m:sub>
        </m:sSub>
        <m:r>
          <w:rPr>
            <w:rFonts w:ascii="Cambria Math" w:hAnsi="Cambria Math" w:cs="Times New Roman"/>
          </w:rPr>
          <m:t xml:space="preserve">, …, </m:t>
        </m:r>
        <m:sSub>
          <m:sSubPr>
            <m:ctrlPr>
              <w:rPr>
                <w:rFonts w:ascii="Cambria Math" w:hAnsi="Cambria Math" w:cs="Times New Roman"/>
                <w:i/>
              </w:rPr>
            </m:ctrlPr>
          </m:sSubPr>
          <m:e>
            <m:r>
              <w:rPr>
                <w:rFonts w:ascii="Cambria Math" w:hAnsi="Cambria Math" w:cs="Times New Roman"/>
              </w:rPr>
              <m:t>η</m:t>
            </m:r>
          </m:e>
          <m:sub>
            <m:r>
              <w:rPr>
                <w:rFonts w:ascii="Cambria Math" w:hAnsi="Cambria Math" w:cs="Times New Roman"/>
              </w:rPr>
              <m:t>ij</m:t>
            </m:r>
          </m:sub>
        </m:sSub>
        <m:r>
          <w:rPr>
            <w:rFonts w:ascii="Cambria Math" w:hAnsi="Cambria Math" w:cs="Times New Roman"/>
          </w:rPr>
          <m:t>)</m:t>
        </m:r>
      </m:oMath>
      <w:r w:rsidRPr="00924E62">
        <w:rPr>
          <w:rFonts w:eastAsiaTheme="minorEastAsia" w:cs="Times New Roman"/>
        </w:rPr>
        <w:t xml:space="preserve">, where </w:t>
      </w:r>
      <m:oMath>
        <m:sSub>
          <m:sSubPr>
            <m:ctrlPr>
              <w:rPr>
                <w:rFonts w:ascii="Cambria Math" w:hAnsi="Cambria Math" w:cs="Times New Roman"/>
                <w:i/>
              </w:rPr>
            </m:ctrlPr>
          </m:sSubPr>
          <m:e>
            <m:r>
              <w:rPr>
                <w:rFonts w:ascii="Cambria Math" w:hAnsi="Cambria Math" w:cs="Times New Roman"/>
              </w:rPr>
              <m:t>η</m:t>
            </m:r>
          </m:e>
          <m:sub>
            <m:r>
              <w:rPr>
                <w:rFonts w:ascii="Cambria Math" w:hAnsi="Cambria Math" w:cs="Times New Roman"/>
              </w:rPr>
              <m:t>ij</m:t>
            </m:r>
          </m:sub>
        </m:sSub>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rPr>
              <m:t>k=1</m:t>
            </m:r>
          </m:sub>
          <m:sup>
            <m:r>
              <w:rPr>
                <w:rFonts w:ascii="Cambria Math" w:hAnsi="Cambria Math" w:cs="Times New Roman"/>
              </w:rPr>
              <m:t>K</m:t>
            </m:r>
          </m:sup>
          <m:e>
            <m:sSubSup>
              <m:sSubSupPr>
                <m:ctrlPr>
                  <w:rPr>
                    <w:rFonts w:ascii="Cambria Math" w:hAnsi="Cambria Math" w:cs="Times New Roman"/>
                    <w:i/>
                  </w:rPr>
                </m:ctrlPr>
              </m:sSubSupPr>
              <m:e>
                <m:r>
                  <w:rPr>
                    <w:rFonts w:ascii="Cambria Math" w:hAnsi="Cambria Math" w:cs="Times New Roman"/>
                  </w:rPr>
                  <m:t>α</m:t>
                </m:r>
              </m:e>
              <m:sub>
                <m:r>
                  <w:rPr>
                    <w:rFonts w:ascii="Cambria Math" w:hAnsi="Cambria Math" w:cs="Times New Roman"/>
                  </w:rPr>
                  <m:t>ik</m:t>
                </m:r>
              </m:sub>
              <m:sup>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jk</m:t>
                    </m:r>
                  </m:sub>
                </m:sSub>
              </m:sup>
            </m:sSubSup>
          </m:e>
        </m:nary>
      </m:oMath>
      <w:r w:rsidRPr="00924E62">
        <w:rPr>
          <w:rFonts w:eastAsiaTheme="minorEastAsia" w:cs="Times New Roman"/>
        </w:rPr>
        <w:t xml:space="preserve">. If </w:t>
      </w:r>
      <w:r w:rsidRPr="00924E62">
        <w:rPr>
          <w:rFonts w:cs="Times New Roman"/>
        </w:rPr>
        <w:t xml:space="preserve">the </w:t>
      </w:r>
      <w:proofErr w:type="spellStart"/>
      <w:r w:rsidRPr="00924E62">
        <w:rPr>
          <w:rFonts w:cs="Times New Roman"/>
          <w:i/>
          <w:iCs/>
        </w:rPr>
        <w:t>i</w:t>
      </w:r>
      <w:r w:rsidRPr="00924E62">
        <w:rPr>
          <w:rFonts w:cs="Times New Roman"/>
          <w:vertAlign w:val="superscript"/>
        </w:rPr>
        <w:t>th</w:t>
      </w:r>
      <w:proofErr w:type="spellEnd"/>
      <w:r w:rsidRPr="00924E62">
        <w:rPr>
          <w:rFonts w:cs="Times New Roman"/>
        </w:rPr>
        <w:t xml:space="preserve"> individual has mastered all required attributes for the </w:t>
      </w:r>
      <w:proofErr w:type="spellStart"/>
      <w:r w:rsidRPr="00924E62">
        <w:rPr>
          <w:rFonts w:cs="Times New Roman"/>
          <w:i/>
          <w:iCs/>
        </w:rPr>
        <w:t>j</w:t>
      </w:r>
      <w:r w:rsidRPr="00924E62">
        <w:rPr>
          <w:rFonts w:cs="Times New Roman"/>
          <w:vertAlign w:val="superscript"/>
        </w:rPr>
        <w:t>th</w:t>
      </w:r>
      <w:proofErr w:type="spellEnd"/>
      <w:r w:rsidRPr="00924E62">
        <w:rPr>
          <w:rFonts w:cs="Times New Roman"/>
          <w:vertAlign w:val="superscript"/>
        </w:rPr>
        <w:t xml:space="preserve"> </w:t>
      </w:r>
      <w:r w:rsidRPr="00924E62">
        <w:rPr>
          <w:rFonts w:cs="Times New Roman"/>
        </w:rPr>
        <w:t>item,</w:t>
      </w:r>
      <w:r w:rsidRPr="00924E62">
        <w:rPr>
          <w:rFonts w:eastAsiaTheme="minorEastAsia" w:cs="Times New Roman"/>
        </w:rPr>
        <w:t xml:space="preserve"> </w:t>
      </w:r>
      <m:oMath>
        <m:sSub>
          <m:sSubPr>
            <m:ctrlPr>
              <w:rPr>
                <w:rFonts w:ascii="Cambria Math" w:hAnsi="Cambria Math" w:cs="Times New Roman"/>
                <w:i/>
              </w:rPr>
            </m:ctrlPr>
          </m:sSubPr>
          <m:e>
            <m:r>
              <w:rPr>
                <w:rFonts w:ascii="Cambria Math" w:hAnsi="Cambria Math" w:cs="Times New Roman"/>
              </w:rPr>
              <m:t>η</m:t>
            </m:r>
          </m:e>
          <m:sub>
            <m:r>
              <w:rPr>
                <w:rFonts w:ascii="Cambria Math" w:hAnsi="Cambria Math" w:cs="Times New Roman"/>
              </w:rPr>
              <m:t>ij</m:t>
            </m:r>
          </m:sub>
        </m:sSub>
      </m:oMath>
      <w:r w:rsidRPr="00924E62">
        <w:rPr>
          <w:rFonts w:eastAsiaTheme="minorEastAsia" w:cs="Times New Roman"/>
        </w:rPr>
        <w:t xml:space="preserve"> = 1; otherwise,</w:t>
      </w:r>
      <w:r w:rsidRPr="00924E62">
        <w:rPr>
          <w:rFonts w:eastAsiaTheme="minorEastAsia" w:cs="Times New Roman"/>
          <w:i/>
        </w:rPr>
        <w:t xml:space="preserve"> </w:t>
      </w:r>
      <m:oMath>
        <m:sSub>
          <m:sSubPr>
            <m:ctrlPr>
              <w:rPr>
                <w:rFonts w:ascii="Cambria Math" w:hAnsi="Cambria Math" w:cs="Times New Roman"/>
                <w:i/>
              </w:rPr>
            </m:ctrlPr>
          </m:sSubPr>
          <m:e>
            <m:r>
              <w:rPr>
                <w:rFonts w:ascii="Cambria Math" w:hAnsi="Cambria Math" w:cs="Times New Roman"/>
              </w:rPr>
              <m:t>η</m:t>
            </m:r>
          </m:e>
          <m:sub>
            <m:r>
              <w:rPr>
                <w:rFonts w:ascii="Cambria Math" w:hAnsi="Cambria Math" w:cs="Times New Roman"/>
              </w:rPr>
              <m:t>ij</m:t>
            </m:r>
          </m:sub>
        </m:sSub>
      </m:oMath>
      <w:r w:rsidRPr="00924E62">
        <w:rPr>
          <w:rFonts w:eastAsiaTheme="minorEastAsia" w:cs="Times New Roman"/>
        </w:rPr>
        <w:t xml:space="preserve"> = 0. </w:t>
      </w:r>
    </w:p>
    <w:p w14:paraId="1C2894C1" w14:textId="0FE64F03" w:rsidR="00655302" w:rsidRPr="00924E62" w:rsidRDefault="00655302" w:rsidP="004F4B5A">
      <w:pPr>
        <w:spacing w:after="0" w:line="360" w:lineRule="auto"/>
        <w:ind w:firstLine="708"/>
        <w:contextualSpacing/>
        <w:jc w:val="both"/>
        <w:rPr>
          <w:rFonts w:cs="Times New Roman"/>
        </w:rPr>
      </w:pPr>
      <w:r w:rsidRPr="00924E62">
        <w:rPr>
          <w:rFonts w:cs="Times New Roman"/>
        </w:rPr>
        <w:t>The DINA model has two key parameters: slipping (</w:t>
      </w: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j</m:t>
            </m:r>
          </m:sub>
        </m:sSub>
      </m:oMath>
      <w:r w:rsidRPr="00924E62">
        <w:rPr>
          <w:rFonts w:eastAsiaTheme="minorEastAsia" w:cs="Times New Roman"/>
        </w:rPr>
        <w:t>) and guessing (</w:t>
      </w:r>
      <m:oMath>
        <m:sSub>
          <m:sSubPr>
            <m:ctrlPr>
              <w:rPr>
                <w:rFonts w:ascii="Cambria Math" w:eastAsiaTheme="minorEastAsia" w:hAnsi="Cambria Math" w:cs="Times New Roman"/>
                <w:i/>
              </w:rPr>
            </m:ctrlPr>
          </m:sSubPr>
          <m:e>
            <m:r>
              <w:rPr>
                <w:rFonts w:ascii="Cambria Math" w:eastAsiaTheme="minorEastAsia" w:hAnsi="Cambria Math" w:cs="Times New Roman"/>
              </w:rPr>
              <m:t>g</m:t>
            </m:r>
          </m:e>
          <m:sub>
            <m:r>
              <w:rPr>
                <w:rFonts w:ascii="Cambria Math" w:eastAsiaTheme="minorEastAsia" w:hAnsi="Cambria Math" w:cs="Times New Roman"/>
              </w:rPr>
              <m:t>j</m:t>
            </m:r>
          </m:sub>
        </m:sSub>
        <m:r>
          <w:rPr>
            <w:rFonts w:ascii="Cambria Math" w:eastAsiaTheme="minorEastAsia" w:hAnsi="Cambria Math" w:cs="Times New Roman"/>
          </w:rPr>
          <m:t>)</m:t>
        </m:r>
      </m:oMath>
      <w:r w:rsidRPr="00924E62">
        <w:rPr>
          <w:rFonts w:eastAsiaTheme="minorEastAsia" w:cs="Times New Roman"/>
        </w:rPr>
        <w:t xml:space="preserve">. </w:t>
      </w:r>
      <w:r w:rsidRPr="00924E62">
        <w:rPr>
          <w:rFonts w:cs="Times New Roman"/>
        </w:rPr>
        <w:t xml:space="preserve">Slipping is the probability of an incorrect response by individuals who </w:t>
      </w:r>
      <w:r w:rsidR="002A1098">
        <w:rPr>
          <w:rFonts w:cs="Times New Roman"/>
        </w:rPr>
        <w:t xml:space="preserve">have </w:t>
      </w:r>
      <w:r w:rsidRPr="00924E62">
        <w:rPr>
          <w:rFonts w:cs="Times New Roman"/>
        </w:rPr>
        <w:t xml:space="preserve">mastered all the required attributes for the </w:t>
      </w:r>
      <w:proofErr w:type="spellStart"/>
      <w:r w:rsidRPr="00924E62">
        <w:rPr>
          <w:rFonts w:cs="Times New Roman"/>
          <w:i/>
          <w:iCs/>
        </w:rPr>
        <w:t>j</w:t>
      </w:r>
      <w:r w:rsidRPr="00924E62">
        <w:rPr>
          <w:rFonts w:cs="Times New Roman"/>
          <w:vertAlign w:val="superscript"/>
        </w:rPr>
        <w:t>th</w:t>
      </w:r>
      <w:proofErr w:type="spellEnd"/>
      <w:r w:rsidRPr="00924E62">
        <w:rPr>
          <w:rFonts w:cs="Times New Roman"/>
        </w:rPr>
        <w:t xml:space="preserve"> item. Conversely, guessing is the probability of a correct response by individuals who have not mastered all of these attributes for the </w:t>
      </w:r>
      <w:proofErr w:type="spellStart"/>
      <w:r w:rsidRPr="00924E62">
        <w:rPr>
          <w:rFonts w:cs="Times New Roman"/>
          <w:i/>
          <w:iCs/>
        </w:rPr>
        <w:t>j</w:t>
      </w:r>
      <w:r w:rsidRPr="00924E62">
        <w:rPr>
          <w:rFonts w:cs="Times New Roman"/>
          <w:vertAlign w:val="superscript"/>
        </w:rPr>
        <w:t>th</w:t>
      </w:r>
      <w:proofErr w:type="spellEnd"/>
      <w:r w:rsidRPr="00924E62">
        <w:rPr>
          <w:rFonts w:cs="Times New Roman"/>
        </w:rPr>
        <w:t xml:space="preserve"> item. For the attribute vector </w:t>
      </w:r>
      <m:oMath>
        <m:sSub>
          <m:sSubPr>
            <m:ctrlPr>
              <w:rPr>
                <w:rFonts w:ascii="Cambria Math" w:eastAsiaTheme="minorEastAsia" w:hAnsi="Cambria Math" w:cs="Times New Roman"/>
                <w:i/>
                <w:iCs/>
              </w:rPr>
            </m:ctrlPr>
          </m:sSubPr>
          <m:e>
            <m:r>
              <m:rPr>
                <m:sty m:val="bi"/>
              </m:rPr>
              <w:rPr>
                <w:rFonts w:ascii="Cambria Math" w:eastAsiaTheme="minorEastAsia" w:hAnsi="Cambria Math" w:cs="Times New Roman"/>
              </w:rPr>
              <m:t>α</m:t>
            </m:r>
          </m:e>
          <m:sub>
            <m:r>
              <w:rPr>
                <w:rFonts w:ascii="Cambria Math" w:eastAsiaTheme="minorEastAsia" w:hAnsi="Cambria Math" w:cs="Times New Roman"/>
              </w:rPr>
              <m:t>i</m:t>
            </m:r>
          </m:sub>
        </m:sSub>
      </m:oMath>
      <w:r w:rsidRPr="00924E62">
        <w:rPr>
          <w:rFonts w:cs="Times New Roman"/>
          <w:iCs/>
        </w:rPr>
        <w:t xml:space="preserve">, </w:t>
      </w:r>
      <w:r w:rsidRPr="00924E62">
        <w:rPr>
          <w:rFonts w:cs="Times New Roman"/>
        </w:rPr>
        <w:t xml:space="preserve">the probability of individual </w:t>
      </w:r>
      <w:proofErr w:type="spellStart"/>
      <w:r w:rsidRPr="00924E62">
        <w:rPr>
          <w:rFonts w:cs="Times New Roman"/>
          <w:i/>
          <w:iCs/>
        </w:rPr>
        <w:t>i</w:t>
      </w:r>
      <w:proofErr w:type="spellEnd"/>
      <w:r w:rsidRPr="00924E62">
        <w:rPr>
          <w:rFonts w:cs="Times New Roman"/>
        </w:rPr>
        <w:t xml:space="preserve"> correctly answer item </w:t>
      </w:r>
      <w:proofErr w:type="gramStart"/>
      <w:r w:rsidRPr="00924E62">
        <w:rPr>
          <w:rFonts w:cs="Times New Roman"/>
          <w:i/>
          <w:iCs/>
        </w:rPr>
        <w:t>j</w:t>
      </w:r>
      <w:r w:rsidRPr="00924E62">
        <w:rPr>
          <w:rFonts w:cs="Times New Roman"/>
          <w:vertAlign w:val="superscript"/>
        </w:rPr>
        <w:t xml:space="preserve"> </w:t>
      </w:r>
      <w:r w:rsidRPr="00924E62">
        <w:rPr>
          <w:rFonts w:cs="Times New Roman"/>
        </w:rPr>
        <w:t xml:space="preserve"> (</w:t>
      </w:r>
      <w:proofErr w:type="gramEnd"/>
      <m:oMath>
        <m:sSub>
          <m:sSubPr>
            <m:ctrlPr>
              <w:rPr>
                <w:rFonts w:ascii="Cambria Math" w:eastAsiaTheme="minorEastAsia" w:hAnsi="Cambria Math" w:cs="Times New Roman"/>
                <w:i/>
                <w:iCs/>
              </w:rPr>
            </m:ctrlPr>
          </m:sSubPr>
          <m:e>
            <m:r>
              <w:rPr>
                <w:rFonts w:ascii="Cambria Math" w:eastAsiaTheme="minorEastAsia" w:hAnsi="Cambria Math" w:cs="Times New Roman"/>
              </w:rPr>
              <m:t>X</m:t>
            </m:r>
          </m:e>
          <m:sub>
            <m:r>
              <w:rPr>
                <w:rFonts w:ascii="Cambria Math" w:eastAsiaTheme="minorEastAsia" w:hAnsi="Cambria Math" w:cs="Times New Roman"/>
              </w:rPr>
              <m:t>ij</m:t>
            </m:r>
          </m:sub>
        </m:sSub>
      </m:oMath>
      <w:r w:rsidRPr="00924E62">
        <w:rPr>
          <w:rFonts w:cs="Times New Roman"/>
        </w:rPr>
        <w:t>) is:</w:t>
      </w:r>
    </w:p>
    <w:p w14:paraId="5BDF6802" w14:textId="77777777" w:rsidR="00655302" w:rsidRPr="00924E62" w:rsidRDefault="00655302" w:rsidP="004F4B5A">
      <w:pPr>
        <w:spacing w:after="0" w:line="360" w:lineRule="auto"/>
        <w:contextualSpacing/>
        <w:jc w:val="right"/>
        <w:rPr>
          <w:rFonts w:eastAsiaTheme="minorEastAsia" w:cs="Times New Roman"/>
          <w:iCs/>
        </w:rPr>
      </w:pPr>
      <w:r w:rsidRPr="00924E62">
        <w:rPr>
          <w:rFonts w:eastAsiaTheme="minorEastAsia" w:cs="Times New Roman"/>
          <w:iCs/>
        </w:rPr>
        <w:tab/>
      </w:r>
      <w:r w:rsidRPr="00924E62">
        <w:rPr>
          <w:rFonts w:eastAsiaTheme="minorEastAsia" w:cs="Times New Roman"/>
          <w:iCs/>
        </w:rPr>
        <w:tab/>
      </w:r>
      <w:r w:rsidRPr="00924E62">
        <w:rPr>
          <w:rFonts w:eastAsiaTheme="minorEastAsia" w:cs="Times New Roman"/>
          <w:iCs/>
        </w:rPr>
        <w:tab/>
      </w:r>
      <m:oMath>
        <m:r>
          <w:rPr>
            <w:rFonts w:ascii="Cambria Math" w:eastAsiaTheme="minorEastAsia" w:hAnsi="Cambria Math" w:cs="Times New Roman"/>
          </w:rPr>
          <m:t>P</m:t>
        </m:r>
        <m:d>
          <m:dPr>
            <m:endChr m:val="|"/>
            <m:ctrlPr>
              <w:rPr>
                <w:rFonts w:ascii="Cambria Math" w:eastAsiaTheme="minorEastAsia" w:hAnsi="Cambria Math" w:cs="Times New Roman"/>
                <w:i/>
                <w:iCs/>
              </w:rPr>
            </m:ctrlPr>
          </m:dPr>
          <m:e>
            <m:sSub>
              <m:sSubPr>
                <m:ctrlPr>
                  <w:rPr>
                    <w:rFonts w:ascii="Cambria Math" w:eastAsiaTheme="minorEastAsia" w:hAnsi="Cambria Math" w:cs="Times New Roman"/>
                    <w:i/>
                    <w:iCs/>
                  </w:rPr>
                </m:ctrlPr>
              </m:sSubPr>
              <m:e>
                <m:r>
                  <w:rPr>
                    <w:rFonts w:ascii="Cambria Math" w:eastAsiaTheme="minorEastAsia" w:hAnsi="Cambria Math" w:cs="Times New Roman"/>
                  </w:rPr>
                  <m:t>X</m:t>
                </m:r>
              </m:e>
              <m:sub>
                <m:r>
                  <w:rPr>
                    <w:rFonts w:ascii="Cambria Math" w:eastAsiaTheme="minorEastAsia" w:hAnsi="Cambria Math" w:cs="Times New Roman"/>
                  </w:rPr>
                  <m:t>ij</m:t>
                </m:r>
              </m:sub>
            </m:sSub>
            <m:r>
              <w:rPr>
                <w:rFonts w:ascii="Cambria Math" w:eastAsiaTheme="minorEastAsia" w:hAnsi="Cambria Math" w:cs="Times New Roman"/>
              </w:rPr>
              <m:t>=1</m:t>
            </m:r>
          </m:e>
        </m:d>
        <m:sSub>
          <m:sSubPr>
            <m:ctrlPr>
              <w:rPr>
                <w:rFonts w:ascii="Cambria Math" w:eastAsiaTheme="minorEastAsia" w:hAnsi="Cambria Math" w:cs="Times New Roman"/>
                <w:i/>
                <w:iCs/>
              </w:rPr>
            </m:ctrlPr>
          </m:sSubPr>
          <m:e>
            <m:r>
              <m:rPr>
                <m:sty m:val="bi"/>
              </m:rPr>
              <w:rPr>
                <w:rFonts w:ascii="Cambria Math" w:eastAsiaTheme="minorEastAsia" w:hAnsi="Cambria Math" w:cs="Times New Roman"/>
              </w:rPr>
              <m:t>α</m:t>
            </m:r>
          </m:e>
          <m:sub>
            <m:r>
              <w:rPr>
                <w:rFonts w:ascii="Cambria Math" w:eastAsiaTheme="minorEastAsia" w:hAnsi="Cambria Math" w:cs="Times New Roman"/>
              </w:rPr>
              <m:t>i</m:t>
            </m:r>
          </m:sub>
        </m:sSub>
        <m:r>
          <w:rPr>
            <w:rFonts w:ascii="Cambria Math" w:eastAsiaTheme="minorEastAsia" w:hAnsi="Cambria Math" w:cs="Times New Roman"/>
          </w:rPr>
          <m:t>)=</m:t>
        </m:r>
        <m:sSubSup>
          <m:sSubSupPr>
            <m:ctrlPr>
              <w:rPr>
                <w:rFonts w:ascii="Cambria Math" w:eastAsiaTheme="minorEastAsia" w:hAnsi="Cambria Math" w:cs="Times New Roman"/>
                <w:i/>
                <w:iCs/>
              </w:rPr>
            </m:ctrlPr>
          </m:sSubSupPr>
          <m:e>
            <m:r>
              <w:rPr>
                <w:rFonts w:ascii="Cambria Math" w:eastAsiaTheme="minorEastAsia" w:hAnsi="Cambria Math" w:cs="Times New Roman"/>
              </w:rPr>
              <m:t>g</m:t>
            </m:r>
          </m:e>
          <m:sub>
            <m:r>
              <w:rPr>
                <w:rFonts w:ascii="Cambria Math" w:eastAsiaTheme="minorEastAsia" w:hAnsi="Cambria Math" w:cs="Times New Roman"/>
              </w:rPr>
              <m:t>j</m:t>
            </m:r>
          </m:sub>
          <m:sup>
            <m:r>
              <w:rPr>
                <w:rFonts w:ascii="Cambria Math" w:eastAsiaTheme="minorEastAsia" w:hAnsi="Cambria Math" w:cs="Times New Roman"/>
              </w:rPr>
              <m:t>1-</m:t>
            </m:r>
            <m:sSub>
              <m:sSubPr>
                <m:ctrlPr>
                  <w:rPr>
                    <w:rFonts w:ascii="Cambria Math" w:eastAsiaTheme="minorEastAsia" w:hAnsi="Cambria Math" w:cs="Times New Roman"/>
                    <w:i/>
                    <w:iCs/>
                  </w:rPr>
                </m:ctrlPr>
              </m:sSubPr>
              <m:e>
                <m:r>
                  <w:rPr>
                    <w:rFonts w:ascii="Cambria Math" w:eastAsiaTheme="minorEastAsia" w:hAnsi="Cambria Math" w:cs="Times New Roman"/>
                  </w:rPr>
                  <m:t>η</m:t>
                </m:r>
              </m:e>
              <m:sub>
                <m:r>
                  <w:rPr>
                    <w:rFonts w:ascii="Cambria Math" w:eastAsiaTheme="minorEastAsia" w:hAnsi="Cambria Math" w:cs="Times New Roman"/>
                  </w:rPr>
                  <m:t>ij</m:t>
                </m:r>
              </m:sub>
            </m:sSub>
          </m:sup>
        </m:sSubSup>
        <m:r>
          <w:rPr>
            <w:rFonts w:ascii="Cambria Math" w:eastAsiaTheme="minorEastAsia" w:hAnsi="Cambria Math" w:cs="Times New Roman"/>
          </w:rPr>
          <m:t>(1-</m:t>
        </m:r>
        <m:sSubSup>
          <m:sSubSupPr>
            <m:ctrlPr>
              <w:rPr>
                <w:rFonts w:ascii="Cambria Math" w:eastAsiaTheme="minorEastAsia" w:hAnsi="Cambria Math" w:cs="Times New Roman"/>
                <w:i/>
                <w:iCs/>
              </w:rPr>
            </m:ctrlPr>
          </m:sSubSupPr>
          <m:e>
            <m:r>
              <w:rPr>
                <w:rFonts w:ascii="Cambria Math" w:eastAsiaTheme="minorEastAsia" w:hAnsi="Cambria Math" w:cs="Times New Roman"/>
              </w:rPr>
              <m:t>S</m:t>
            </m:r>
          </m:e>
          <m:sub>
            <m:r>
              <w:rPr>
                <w:rFonts w:ascii="Cambria Math" w:eastAsiaTheme="minorEastAsia" w:hAnsi="Cambria Math" w:cs="Times New Roman"/>
              </w:rPr>
              <m:t>j</m:t>
            </m:r>
          </m:sub>
          <m:sup>
            <m:sSub>
              <m:sSubPr>
                <m:ctrlPr>
                  <w:rPr>
                    <w:rFonts w:ascii="Cambria Math" w:eastAsiaTheme="minorEastAsia" w:hAnsi="Cambria Math" w:cs="Times New Roman"/>
                    <w:i/>
                    <w:iCs/>
                  </w:rPr>
                </m:ctrlPr>
              </m:sSubPr>
              <m:e>
                <m:r>
                  <w:rPr>
                    <w:rFonts w:ascii="Cambria Math" w:eastAsiaTheme="minorEastAsia" w:hAnsi="Cambria Math" w:cs="Times New Roman"/>
                  </w:rPr>
                  <m:t>η</m:t>
                </m:r>
              </m:e>
              <m:sub>
                <m:r>
                  <w:rPr>
                    <w:rFonts w:ascii="Cambria Math" w:eastAsiaTheme="minorEastAsia" w:hAnsi="Cambria Math" w:cs="Times New Roman"/>
                  </w:rPr>
                  <m:t>ij</m:t>
                </m:r>
              </m:sub>
            </m:sSub>
          </m:sup>
        </m:sSubSup>
        <m:r>
          <w:rPr>
            <w:rFonts w:ascii="Cambria Math" w:eastAsiaTheme="minorEastAsia" w:hAnsi="Cambria Math" w:cs="Times New Roman"/>
          </w:rPr>
          <m:t>)</m:t>
        </m:r>
      </m:oMath>
      <w:r w:rsidRPr="00924E62">
        <w:rPr>
          <w:rFonts w:eastAsiaTheme="minorEastAsia" w:cs="Times New Roman"/>
          <w:iCs/>
        </w:rPr>
        <w:tab/>
      </w:r>
      <w:r w:rsidRPr="00924E62">
        <w:rPr>
          <w:rFonts w:eastAsiaTheme="minorEastAsia" w:cs="Times New Roman"/>
          <w:iCs/>
        </w:rPr>
        <w:tab/>
      </w:r>
      <w:r w:rsidRPr="00924E62">
        <w:rPr>
          <w:rFonts w:eastAsiaTheme="minorEastAsia" w:cs="Times New Roman"/>
          <w:iCs/>
        </w:rPr>
        <w:tab/>
      </w:r>
      <w:r w:rsidRPr="00924E62">
        <w:rPr>
          <w:rFonts w:eastAsiaTheme="minorEastAsia" w:cs="Times New Roman"/>
          <w:iCs/>
        </w:rPr>
        <w:tab/>
        <w:t xml:space="preserve">(1) </w:t>
      </w:r>
    </w:p>
    <w:p w14:paraId="24A601E6" w14:textId="77777777" w:rsidR="00655302" w:rsidRPr="00924E62" w:rsidRDefault="00655302" w:rsidP="004F4B5A">
      <w:pPr>
        <w:spacing w:after="0" w:line="360" w:lineRule="auto"/>
        <w:contextualSpacing/>
        <w:rPr>
          <w:rFonts w:cs="Times New Roman"/>
        </w:rPr>
      </w:pPr>
      <w:r w:rsidRPr="00924E62">
        <w:rPr>
          <w:rFonts w:cs="Times New Roman"/>
        </w:rPr>
        <w:t>We chose the DINA model for its simplicity and ease of interpretation (de la Torre, 2009), though other CDMs can also be used to examine mixed hierarchical structures of attributes.</w:t>
      </w:r>
    </w:p>
    <w:p w14:paraId="4837195C" w14:textId="6132B8C6" w:rsidR="006C2045" w:rsidRPr="00924E62" w:rsidRDefault="006C2045" w:rsidP="004F4B5A">
      <w:pPr>
        <w:jc w:val="both"/>
        <w:rPr>
          <w:rFonts w:ascii="Calibri" w:eastAsiaTheme="minorEastAsia" w:hAnsi="Calibri" w:cs="Calibri"/>
          <w:b/>
          <w:sz w:val="24"/>
          <w:szCs w:val="32"/>
        </w:rPr>
      </w:pPr>
      <w:r w:rsidRPr="00924E62">
        <w:rPr>
          <w:rFonts w:ascii="Calibri" w:eastAsiaTheme="minorEastAsia" w:hAnsi="Calibri" w:cs="Calibri"/>
          <w:b/>
          <w:sz w:val="24"/>
          <w:szCs w:val="32"/>
        </w:rPr>
        <w:t>3.</w:t>
      </w:r>
      <w:r w:rsidRPr="00924E62">
        <w:rPr>
          <w:rFonts w:ascii="Calibri" w:eastAsiaTheme="minorEastAsia" w:hAnsi="Calibri" w:cs="Calibri"/>
          <w:b/>
          <w:sz w:val="24"/>
          <w:szCs w:val="32"/>
        </w:rPr>
        <w:tab/>
      </w:r>
      <w:r w:rsidR="00655302" w:rsidRPr="00924E62">
        <w:rPr>
          <w:rFonts w:ascii="Calibri" w:eastAsiaTheme="minorEastAsia" w:hAnsi="Calibri" w:cs="Calibri"/>
          <w:b/>
          <w:sz w:val="24"/>
          <w:szCs w:val="32"/>
        </w:rPr>
        <w:t>Hierarchical structure of attributes</w:t>
      </w:r>
    </w:p>
    <w:p w14:paraId="7BCC3531" w14:textId="574845D2" w:rsidR="00655302" w:rsidRPr="00924E62" w:rsidRDefault="00655302" w:rsidP="004F4B5A">
      <w:pPr>
        <w:spacing w:after="0" w:line="360" w:lineRule="auto"/>
        <w:jc w:val="both"/>
        <w:rPr>
          <w:rFonts w:cs="Times New Roman"/>
        </w:rPr>
      </w:pPr>
      <w:r w:rsidRPr="00924E62">
        <w:rPr>
          <w:rFonts w:cs="Times New Roman"/>
        </w:rPr>
        <w:t xml:space="preserve">Attributes that students learn are often hierarchically correlated (e.g., Crowley, 1987; Mayer, 1996). For instance, in arithmetic, students must grasp basic concepts in addition and subtraction as prerequisites for learning advanced operations like multiplication and division. Leighton et al. (2004) proposed four types of hierarchical attribute structures: </w:t>
      </w:r>
      <w:r w:rsidRPr="00924E62">
        <w:rPr>
          <w:rFonts w:cs="Times New Roman"/>
          <w:i/>
          <w:iCs/>
        </w:rPr>
        <w:t>linear</w:t>
      </w:r>
      <w:r w:rsidRPr="00924E62">
        <w:rPr>
          <w:rFonts w:cs="Times New Roman"/>
          <w:iCs/>
        </w:rPr>
        <w:t xml:space="preserve">, </w:t>
      </w:r>
      <w:r w:rsidRPr="00924E62">
        <w:rPr>
          <w:rFonts w:cs="Times New Roman"/>
          <w:i/>
          <w:iCs/>
        </w:rPr>
        <w:t>convergent</w:t>
      </w:r>
      <w:r w:rsidRPr="00924E62">
        <w:rPr>
          <w:rFonts w:cs="Times New Roman"/>
          <w:iCs/>
        </w:rPr>
        <w:t xml:space="preserve">, </w:t>
      </w:r>
      <w:r w:rsidRPr="00924E62">
        <w:rPr>
          <w:rFonts w:cs="Times New Roman"/>
          <w:i/>
          <w:iCs/>
        </w:rPr>
        <w:t>divergent</w:t>
      </w:r>
      <w:r w:rsidRPr="00924E62">
        <w:rPr>
          <w:rFonts w:cs="Times New Roman"/>
          <w:iCs/>
        </w:rPr>
        <w:t xml:space="preserve">, and </w:t>
      </w:r>
      <w:r w:rsidRPr="00924E62">
        <w:rPr>
          <w:rFonts w:cs="Times New Roman"/>
          <w:i/>
          <w:iCs/>
        </w:rPr>
        <w:t>unstructured</w:t>
      </w:r>
      <w:r w:rsidRPr="00924E62">
        <w:rPr>
          <w:rFonts w:cs="Times New Roman"/>
          <w:i/>
        </w:rPr>
        <w:t xml:space="preserve"> </w:t>
      </w:r>
      <w:r w:rsidRPr="00924E62">
        <w:rPr>
          <w:rFonts w:cs="Times New Roman"/>
          <w:iCs/>
        </w:rPr>
        <w:t xml:space="preserve">(see </w:t>
      </w:r>
      <w:r w:rsidRPr="00924E62">
        <w:rPr>
          <w:rFonts w:cs="Times New Roman"/>
        </w:rPr>
        <w:t xml:space="preserve">Figure 1). In the linear structure, failure to master the first attribute (A1) inhibits mastery of </w:t>
      </w:r>
      <w:r w:rsidR="00F76EFA">
        <w:rPr>
          <w:rFonts w:cs="Times New Roman"/>
        </w:rPr>
        <w:t xml:space="preserve">the </w:t>
      </w:r>
      <w:r w:rsidRPr="00924E62">
        <w:rPr>
          <w:rFonts w:cs="Times New Roman"/>
        </w:rPr>
        <w:t xml:space="preserve">subsequent attributes (A2–A5). The convergent structure offers a choice: master either one of the attributes (A3 or A4) or both to achieve mastery of A5. In the divergent structure, a person must master all three preceding attributes (A1, A2, and A3) before </w:t>
      </w:r>
      <w:bookmarkStart w:id="1" w:name="_Hlk194313080"/>
      <w:r w:rsidRPr="00924E62">
        <w:rPr>
          <w:rFonts w:cs="Times New Roman"/>
        </w:rPr>
        <w:t xml:space="preserve">mastering </w:t>
      </w:r>
      <w:r w:rsidR="00C73A2D" w:rsidRPr="00924E62">
        <w:rPr>
          <w:rFonts w:cs="Times New Roman"/>
        </w:rPr>
        <w:t>either one of</w:t>
      </w:r>
      <w:r w:rsidR="00C73A2D">
        <w:rPr>
          <w:rFonts w:cs="Times New Roman"/>
        </w:rPr>
        <w:t xml:space="preserve"> the </w:t>
      </w:r>
      <w:r w:rsidR="00C73A2D" w:rsidRPr="00924E62">
        <w:rPr>
          <w:rFonts w:cs="Times New Roman"/>
        </w:rPr>
        <w:t xml:space="preserve">subsequent attributes </w:t>
      </w:r>
      <w:r w:rsidR="00C73A2D">
        <w:rPr>
          <w:rFonts w:cs="Times New Roman"/>
        </w:rPr>
        <w:t xml:space="preserve">(A4, or </w:t>
      </w:r>
      <w:r w:rsidRPr="00924E62">
        <w:rPr>
          <w:rFonts w:cs="Times New Roman"/>
        </w:rPr>
        <w:t>A5</w:t>
      </w:r>
      <w:r w:rsidR="00C73A2D">
        <w:rPr>
          <w:rFonts w:cs="Times New Roman"/>
        </w:rPr>
        <w:t>)</w:t>
      </w:r>
      <w:bookmarkEnd w:id="1"/>
      <w:r w:rsidRPr="00924E62">
        <w:rPr>
          <w:rFonts w:cs="Times New Roman"/>
        </w:rPr>
        <w:t>. Lastly, for the unstructured case, mastery of one attribute (A1) enables mastery of any of subsequent attributes (A2, A3, A4, or A5).</w:t>
      </w:r>
    </w:p>
    <w:p w14:paraId="6421860B" w14:textId="77777777" w:rsidR="00655302" w:rsidRPr="00A72A2F" w:rsidRDefault="00655302" w:rsidP="004F4B5A">
      <w:pPr>
        <w:spacing w:after="0" w:line="360" w:lineRule="auto"/>
        <w:jc w:val="both"/>
        <w:rPr>
          <w:rFonts w:ascii="Times New Roman" w:hAnsi="Times New Roman" w:cs="Times New Roman"/>
        </w:rPr>
      </w:pPr>
    </w:p>
    <w:p w14:paraId="4C529140" w14:textId="0FF3015C" w:rsidR="00655302" w:rsidRDefault="00655302" w:rsidP="004F4B5A">
      <w:pPr>
        <w:spacing w:after="0" w:line="360" w:lineRule="auto"/>
        <w:contextualSpacing/>
        <w:jc w:val="center"/>
        <w:rPr>
          <w:rFonts w:ascii="Times New Roman" w:eastAsiaTheme="minorEastAsia" w:hAnsi="Times New Roman" w:cs="Times New Roman"/>
          <w:iCs/>
        </w:rPr>
      </w:pPr>
      <w:r w:rsidRPr="0069456D">
        <w:rPr>
          <w:rFonts w:ascii="Times New Roman" w:eastAsiaTheme="minorEastAsia" w:hAnsi="Times New Roman" w:cs="Times New Roman"/>
          <w:iCs/>
          <w:noProof/>
        </w:rPr>
        <w:drawing>
          <wp:inline distT="0" distB="0" distL="0" distR="0" wp14:anchorId="594299FD" wp14:editId="6B1A725F">
            <wp:extent cx="5758365" cy="3343046"/>
            <wp:effectExtent l="19050" t="19050" r="13970" b="1016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96444" cy="3365153"/>
                    </a:xfrm>
                    <a:prstGeom prst="rect">
                      <a:avLst/>
                    </a:prstGeom>
                    <a:noFill/>
                    <a:ln>
                      <a:solidFill>
                        <a:schemeClr val="tx1"/>
                      </a:solidFill>
                    </a:ln>
                  </pic:spPr>
                </pic:pic>
              </a:graphicData>
            </a:graphic>
          </wp:inline>
        </w:drawing>
      </w:r>
    </w:p>
    <w:p w14:paraId="7887E25D" w14:textId="020C2E2F" w:rsidR="00205D0A" w:rsidRPr="00924E62" w:rsidRDefault="00205D0A" w:rsidP="004F4B5A">
      <w:pPr>
        <w:rPr>
          <w:rFonts w:cs="Times New Roman"/>
          <w:b/>
          <w:bCs/>
        </w:rPr>
      </w:pPr>
      <w:r w:rsidRPr="00924E62">
        <w:rPr>
          <w:rFonts w:cs="Times New Roman"/>
          <w:b/>
          <w:bCs/>
        </w:rPr>
        <w:t xml:space="preserve">Figure 1. </w:t>
      </w:r>
      <w:r w:rsidRPr="00924E62">
        <w:rPr>
          <w:rFonts w:cs="Times New Roman"/>
          <w:iCs/>
        </w:rPr>
        <w:t>Four Hierarchical Structures Using Five Attributes</w:t>
      </w:r>
    </w:p>
    <w:p w14:paraId="169B2762" w14:textId="77D420F3" w:rsidR="00655302" w:rsidRPr="00924E62" w:rsidRDefault="00655302" w:rsidP="004F4B5A">
      <w:pPr>
        <w:spacing w:after="0" w:line="360" w:lineRule="auto"/>
        <w:contextualSpacing/>
        <w:jc w:val="both"/>
        <w:rPr>
          <w:rFonts w:eastAsiaTheme="minorEastAsia" w:cs="Times New Roman"/>
        </w:rPr>
      </w:pPr>
      <w:r w:rsidRPr="00924E62">
        <w:rPr>
          <w:rFonts w:eastAsiaTheme="minorEastAsia" w:cs="Times New Roman"/>
          <w:i/>
          <w:iCs/>
        </w:rPr>
        <w:t>Note</w:t>
      </w:r>
      <w:r w:rsidRPr="00924E62">
        <w:rPr>
          <w:rFonts w:eastAsiaTheme="minorEastAsia" w:cs="Times New Roman"/>
        </w:rPr>
        <w:t xml:space="preserve">. A means </w:t>
      </w:r>
      <w:proofErr w:type="gramStart"/>
      <w:r w:rsidRPr="00924E62">
        <w:rPr>
          <w:rFonts w:eastAsiaTheme="minorEastAsia" w:cs="Times New Roman"/>
        </w:rPr>
        <w:t>attribute</w:t>
      </w:r>
      <w:proofErr w:type="gramEnd"/>
      <w:r w:rsidRPr="00924E62">
        <w:rPr>
          <w:rFonts w:eastAsiaTheme="minorEastAsia" w:cs="Times New Roman"/>
        </w:rPr>
        <w:t xml:space="preserve">. </w:t>
      </w:r>
    </w:p>
    <w:p w14:paraId="68B89058" w14:textId="77777777" w:rsidR="00205D0A" w:rsidRDefault="00205D0A" w:rsidP="004F4B5A">
      <w:pPr>
        <w:spacing w:after="0" w:line="360" w:lineRule="auto"/>
        <w:contextualSpacing/>
        <w:jc w:val="both"/>
        <w:rPr>
          <w:rFonts w:ascii="Times New Roman" w:eastAsiaTheme="minorEastAsia" w:hAnsi="Times New Roman" w:cs="Times New Roman"/>
          <w:sz w:val="24"/>
          <w:szCs w:val="24"/>
        </w:rPr>
      </w:pPr>
    </w:p>
    <w:p w14:paraId="15F4F8B1" w14:textId="228DFC1C" w:rsidR="00655302" w:rsidRPr="00924E62" w:rsidRDefault="00655302" w:rsidP="004F4B5A">
      <w:pPr>
        <w:spacing w:after="0" w:line="360" w:lineRule="auto"/>
        <w:ind w:firstLine="720"/>
        <w:contextualSpacing/>
        <w:jc w:val="both"/>
        <w:rPr>
          <w:rFonts w:eastAsiaTheme="minorEastAsia" w:cs="Times New Roman"/>
        </w:rPr>
      </w:pPr>
      <w:r w:rsidRPr="00924E62">
        <w:rPr>
          <w:rFonts w:eastAsiaTheme="minorEastAsia" w:cs="Times New Roman"/>
        </w:rPr>
        <w:t xml:space="preserve">Allowing different hierarchical structures limits the number of attribute profiles </w:t>
      </w:r>
      <w:r w:rsidR="00320DF2">
        <w:rPr>
          <w:rFonts w:eastAsiaTheme="minorEastAsia" w:cs="Times New Roman"/>
        </w:rPr>
        <w:t>available t</w:t>
      </w:r>
      <w:r w:rsidRPr="00924E62">
        <w:rPr>
          <w:rFonts w:eastAsiaTheme="minorEastAsia" w:cs="Times New Roman"/>
        </w:rPr>
        <w:t xml:space="preserve">o recover individuals’ mastery statuses (rather than all possible attribute profiles, see Table 1). For example, the linear structure is the most restrictive, yielding only six possible attribute profiles. By contrast, the unstructured one is the least restrictive and yields 17 attribute profiles. These hierarchical structures share possible attribute profiles to varying degrees. As shown in Table 1, all attribute profiles (i.e., six attribute profiles) in the linear structure are also </w:t>
      </w:r>
      <w:r w:rsidR="00320DF2">
        <w:rPr>
          <w:rFonts w:eastAsiaTheme="minorEastAsia" w:cs="Times New Roman"/>
        </w:rPr>
        <w:t xml:space="preserve">present </w:t>
      </w:r>
      <w:r w:rsidRPr="00924E62">
        <w:rPr>
          <w:rFonts w:eastAsiaTheme="minorEastAsia" w:cs="Times New Roman"/>
        </w:rPr>
        <w:t xml:space="preserve">in the convergent, divergent, and unstructured structures. However, nine attribute profiles in the unstructured structure do not appear in the linear, convergent, or divergent structures. This suggests that </w:t>
      </w:r>
      <w:r w:rsidRPr="00924E62">
        <w:rPr>
          <w:rFonts w:cs="Times New Roman"/>
        </w:rPr>
        <w:t>misclassifying attribute order (e.g., assigning lower-level attributes to a higher-level structure) or structures (e.g., fitting a linear structure to unstructured data) reduce</w:t>
      </w:r>
      <w:r w:rsidR="00320DF2">
        <w:rPr>
          <w:rFonts w:cs="Times New Roman"/>
        </w:rPr>
        <w:t>s</w:t>
      </w:r>
      <w:r w:rsidRPr="00924E62">
        <w:rPr>
          <w:rFonts w:cs="Times New Roman"/>
        </w:rPr>
        <w:t xml:space="preserve"> classification accuracy (</w:t>
      </w:r>
      <w:r w:rsidR="003103AB" w:rsidRPr="003103AB">
        <w:rPr>
          <w:rFonts w:cs="Times New Roman"/>
        </w:rPr>
        <w:t>e.g., Liu, 2018; Liu et al., 2016; Templin et al., 2008</w:t>
      </w:r>
      <w:r w:rsidRPr="00924E62">
        <w:rPr>
          <w:rFonts w:cs="Times New Roman"/>
        </w:rPr>
        <w:t>).</w:t>
      </w:r>
    </w:p>
    <w:p w14:paraId="4AEE380F" w14:textId="77777777" w:rsidR="00205D0A" w:rsidRPr="00924E62" w:rsidRDefault="00205D0A" w:rsidP="004F4B5A">
      <w:pPr>
        <w:spacing w:after="0" w:line="360" w:lineRule="auto"/>
        <w:contextualSpacing/>
        <w:rPr>
          <w:rFonts w:cs="Times New Roman"/>
          <w:b/>
        </w:rPr>
      </w:pPr>
    </w:p>
    <w:p w14:paraId="6B045453" w14:textId="285473E1" w:rsidR="00655302" w:rsidRPr="00924E62" w:rsidRDefault="00655302" w:rsidP="004F4B5A">
      <w:pPr>
        <w:spacing w:after="0" w:line="360" w:lineRule="auto"/>
        <w:contextualSpacing/>
        <w:rPr>
          <w:rFonts w:cs="Times New Roman"/>
          <w:iCs/>
        </w:rPr>
      </w:pPr>
      <w:r w:rsidRPr="00924E62">
        <w:rPr>
          <w:rFonts w:cs="Times New Roman"/>
          <w:b/>
        </w:rPr>
        <w:t>Table1.</w:t>
      </w:r>
      <w:r w:rsidR="00205D0A" w:rsidRPr="00924E62">
        <w:rPr>
          <w:rFonts w:cs="Times New Roman"/>
          <w:b/>
        </w:rPr>
        <w:t xml:space="preserve"> </w:t>
      </w:r>
      <w:r w:rsidRPr="00924E62">
        <w:rPr>
          <w:rFonts w:cs="Times New Roman"/>
          <w:iCs/>
        </w:rPr>
        <w:t>The Attribute Profiles Across Various Hierarchical Structures Using Five Attributes</w:t>
      </w:r>
    </w:p>
    <w:tbl>
      <w:tblPr>
        <w:tblStyle w:val="TableGrid"/>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0"/>
        <w:gridCol w:w="2260"/>
        <w:gridCol w:w="2260"/>
        <w:gridCol w:w="2260"/>
      </w:tblGrid>
      <w:tr w:rsidR="00655302" w:rsidRPr="00924E62" w14:paraId="7D50B6D6" w14:textId="77777777" w:rsidTr="009C5D83">
        <w:trPr>
          <w:trHeight w:val="288"/>
          <w:jc w:val="center"/>
        </w:trPr>
        <w:tc>
          <w:tcPr>
            <w:tcW w:w="2260" w:type="dxa"/>
            <w:tcBorders>
              <w:top w:val="single" w:sz="4" w:space="0" w:color="auto"/>
              <w:bottom w:val="single" w:sz="4" w:space="0" w:color="auto"/>
            </w:tcBorders>
            <w:noWrap/>
            <w:hideMark/>
          </w:tcPr>
          <w:p w14:paraId="2023EBF7" w14:textId="1CC563A8" w:rsidR="00655302" w:rsidRPr="00924E62" w:rsidRDefault="00655302" w:rsidP="004F4B5A">
            <w:pPr>
              <w:jc w:val="center"/>
              <w:rPr>
                <w:rFonts w:cs="Times New Roman"/>
                <w:sz w:val="22"/>
                <w:szCs w:val="22"/>
              </w:rPr>
            </w:pPr>
            <w:r w:rsidRPr="00924E62">
              <w:rPr>
                <w:rFonts w:cs="Times New Roman"/>
                <w:sz w:val="22"/>
                <w:szCs w:val="22"/>
              </w:rPr>
              <w:t>1. Linear</w:t>
            </w:r>
          </w:p>
          <w:p w14:paraId="1D20274B" w14:textId="5B8CD27C" w:rsidR="00655302" w:rsidRPr="00924E62" w:rsidRDefault="00655302" w:rsidP="004F4B5A">
            <w:pPr>
              <w:jc w:val="center"/>
              <w:rPr>
                <w:rFonts w:cs="Times New Roman"/>
                <w:sz w:val="22"/>
                <w:szCs w:val="22"/>
              </w:rPr>
            </w:pPr>
            <w:r w:rsidRPr="00924E62">
              <w:rPr>
                <w:rFonts w:cs="Times New Roman"/>
                <w:sz w:val="22"/>
                <w:szCs w:val="22"/>
              </w:rPr>
              <w:t>(</w:t>
            </w:r>
            <w:r w:rsidR="00B24476">
              <w:rPr>
                <w:rFonts w:cs="Times New Roman"/>
                <w:i/>
                <w:iCs/>
                <w:sz w:val="22"/>
                <w:szCs w:val="22"/>
              </w:rPr>
              <w:t>P</w:t>
            </w:r>
            <w:r w:rsidRPr="00924E62">
              <w:rPr>
                <w:rFonts w:cs="Times New Roman"/>
                <w:sz w:val="22"/>
                <w:szCs w:val="22"/>
              </w:rPr>
              <w:t>=6)</w:t>
            </w:r>
          </w:p>
        </w:tc>
        <w:tc>
          <w:tcPr>
            <w:tcW w:w="2260" w:type="dxa"/>
            <w:tcBorders>
              <w:top w:val="single" w:sz="4" w:space="0" w:color="auto"/>
              <w:bottom w:val="single" w:sz="4" w:space="0" w:color="auto"/>
            </w:tcBorders>
            <w:noWrap/>
            <w:hideMark/>
          </w:tcPr>
          <w:p w14:paraId="75902370" w14:textId="2A150545" w:rsidR="00655302" w:rsidRPr="00924E62" w:rsidRDefault="00655302" w:rsidP="004F4B5A">
            <w:pPr>
              <w:jc w:val="center"/>
              <w:rPr>
                <w:rFonts w:cs="Times New Roman"/>
                <w:sz w:val="22"/>
                <w:szCs w:val="22"/>
              </w:rPr>
            </w:pPr>
            <w:r w:rsidRPr="00924E62">
              <w:rPr>
                <w:rFonts w:cs="Times New Roman"/>
                <w:sz w:val="22"/>
                <w:szCs w:val="22"/>
              </w:rPr>
              <w:t>2. Convergent</w:t>
            </w:r>
          </w:p>
          <w:p w14:paraId="35AC6C8F" w14:textId="0378038F" w:rsidR="00655302" w:rsidRPr="00924E62" w:rsidRDefault="00655302" w:rsidP="004F4B5A">
            <w:pPr>
              <w:jc w:val="center"/>
              <w:rPr>
                <w:rFonts w:cs="Times New Roman"/>
                <w:sz w:val="22"/>
                <w:szCs w:val="22"/>
              </w:rPr>
            </w:pPr>
            <w:r w:rsidRPr="00924E62">
              <w:rPr>
                <w:rFonts w:cs="Times New Roman"/>
                <w:sz w:val="22"/>
                <w:szCs w:val="22"/>
              </w:rPr>
              <w:t>(</w:t>
            </w:r>
            <w:r w:rsidR="00B24476">
              <w:rPr>
                <w:rFonts w:cs="Times New Roman"/>
                <w:sz w:val="22"/>
                <w:szCs w:val="22"/>
              </w:rPr>
              <w:t>P</w:t>
            </w:r>
            <w:r w:rsidRPr="00924E62">
              <w:rPr>
                <w:rFonts w:cs="Times New Roman"/>
                <w:sz w:val="22"/>
                <w:szCs w:val="22"/>
              </w:rPr>
              <w:t>=7)</w:t>
            </w:r>
          </w:p>
        </w:tc>
        <w:tc>
          <w:tcPr>
            <w:tcW w:w="2260" w:type="dxa"/>
            <w:tcBorders>
              <w:top w:val="single" w:sz="4" w:space="0" w:color="auto"/>
              <w:bottom w:val="single" w:sz="4" w:space="0" w:color="auto"/>
            </w:tcBorders>
            <w:noWrap/>
            <w:hideMark/>
          </w:tcPr>
          <w:p w14:paraId="32CD80F1" w14:textId="2E2D301C" w:rsidR="00655302" w:rsidRPr="00924E62" w:rsidRDefault="00655302" w:rsidP="004F4B5A">
            <w:pPr>
              <w:jc w:val="center"/>
              <w:rPr>
                <w:rFonts w:cs="Times New Roman"/>
                <w:sz w:val="22"/>
                <w:szCs w:val="22"/>
              </w:rPr>
            </w:pPr>
            <w:r w:rsidRPr="00924E62">
              <w:rPr>
                <w:rFonts w:cs="Times New Roman"/>
                <w:sz w:val="22"/>
                <w:szCs w:val="22"/>
              </w:rPr>
              <w:t>3. Divergent</w:t>
            </w:r>
          </w:p>
          <w:p w14:paraId="10D872F9" w14:textId="169B6DA1" w:rsidR="00655302" w:rsidRPr="00924E62" w:rsidRDefault="00655302" w:rsidP="004F4B5A">
            <w:pPr>
              <w:jc w:val="center"/>
              <w:rPr>
                <w:rFonts w:cs="Times New Roman"/>
                <w:sz w:val="22"/>
                <w:szCs w:val="22"/>
              </w:rPr>
            </w:pPr>
            <w:r w:rsidRPr="00924E62">
              <w:rPr>
                <w:rFonts w:cs="Times New Roman"/>
                <w:sz w:val="22"/>
                <w:szCs w:val="22"/>
              </w:rPr>
              <w:t>(</w:t>
            </w:r>
            <w:r w:rsidR="00B24476">
              <w:rPr>
                <w:rFonts w:cs="Times New Roman"/>
                <w:i/>
                <w:iCs/>
                <w:sz w:val="22"/>
                <w:szCs w:val="22"/>
              </w:rPr>
              <w:t>P</w:t>
            </w:r>
            <w:r w:rsidRPr="00924E62">
              <w:rPr>
                <w:rFonts w:cs="Times New Roman"/>
                <w:sz w:val="22"/>
                <w:szCs w:val="22"/>
              </w:rPr>
              <w:t>=7)</w:t>
            </w:r>
          </w:p>
        </w:tc>
        <w:tc>
          <w:tcPr>
            <w:tcW w:w="2260" w:type="dxa"/>
            <w:tcBorders>
              <w:top w:val="single" w:sz="4" w:space="0" w:color="auto"/>
              <w:bottom w:val="single" w:sz="4" w:space="0" w:color="auto"/>
            </w:tcBorders>
            <w:noWrap/>
            <w:hideMark/>
          </w:tcPr>
          <w:p w14:paraId="004EEB49" w14:textId="77777777" w:rsidR="00B24476" w:rsidRDefault="00655302" w:rsidP="004F4B5A">
            <w:pPr>
              <w:jc w:val="center"/>
              <w:rPr>
                <w:rFonts w:cs="Times New Roman"/>
                <w:sz w:val="22"/>
                <w:szCs w:val="22"/>
              </w:rPr>
            </w:pPr>
            <w:r w:rsidRPr="00924E62">
              <w:rPr>
                <w:rFonts w:cs="Times New Roman"/>
                <w:sz w:val="22"/>
                <w:szCs w:val="22"/>
              </w:rPr>
              <w:t>4. Unstructured</w:t>
            </w:r>
          </w:p>
          <w:p w14:paraId="5ABF70A1" w14:textId="6EA4F488" w:rsidR="00655302" w:rsidRPr="00924E62" w:rsidRDefault="00655302" w:rsidP="004F4B5A">
            <w:pPr>
              <w:jc w:val="center"/>
              <w:rPr>
                <w:rFonts w:cs="Times New Roman"/>
                <w:sz w:val="22"/>
                <w:szCs w:val="22"/>
              </w:rPr>
            </w:pPr>
            <w:r w:rsidRPr="00924E62">
              <w:rPr>
                <w:rFonts w:cs="Times New Roman"/>
                <w:sz w:val="22"/>
                <w:szCs w:val="22"/>
              </w:rPr>
              <w:t>(</w:t>
            </w:r>
            <w:r w:rsidR="00B24476">
              <w:rPr>
                <w:rFonts w:cs="Times New Roman"/>
                <w:i/>
                <w:iCs/>
                <w:sz w:val="22"/>
                <w:szCs w:val="22"/>
              </w:rPr>
              <w:t>P</w:t>
            </w:r>
            <w:r w:rsidRPr="00924E62">
              <w:rPr>
                <w:rFonts w:cs="Times New Roman"/>
                <w:sz w:val="22"/>
                <w:szCs w:val="22"/>
              </w:rPr>
              <w:t>=17)</w:t>
            </w:r>
          </w:p>
        </w:tc>
      </w:tr>
      <w:tr w:rsidR="00655302" w:rsidRPr="00924E62" w14:paraId="75394A59" w14:textId="77777777" w:rsidTr="009C5D83">
        <w:trPr>
          <w:trHeight w:val="288"/>
          <w:jc w:val="center"/>
        </w:trPr>
        <w:tc>
          <w:tcPr>
            <w:tcW w:w="2260" w:type="dxa"/>
            <w:tcBorders>
              <w:top w:val="single" w:sz="4" w:space="0" w:color="auto"/>
            </w:tcBorders>
            <w:shd w:val="clear" w:color="auto" w:fill="D9D9D9" w:themeFill="background1" w:themeFillShade="D9"/>
            <w:noWrap/>
            <w:hideMark/>
          </w:tcPr>
          <w:p w14:paraId="1C833498" w14:textId="77777777" w:rsidR="00655302" w:rsidRPr="00924E62" w:rsidRDefault="00655302" w:rsidP="004F4B5A">
            <w:pPr>
              <w:snapToGrid w:val="0"/>
              <w:jc w:val="center"/>
              <w:rPr>
                <w:rFonts w:cs="Times New Roman"/>
                <w:sz w:val="22"/>
                <w:szCs w:val="22"/>
              </w:rPr>
            </w:pPr>
            <w:r w:rsidRPr="00924E62">
              <w:rPr>
                <w:rFonts w:cs="Times New Roman"/>
                <w:sz w:val="22"/>
                <w:szCs w:val="22"/>
              </w:rPr>
              <w:t>(0,0,0,0,0)</w:t>
            </w:r>
          </w:p>
        </w:tc>
        <w:tc>
          <w:tcPr>
            <w:tcW w:w="2260" w:type="dxa"/>
            <w:tcBorders>
              <w:top w:val="single" w:sz="4" w:space="0" w:color="auto"/>
            </w:tcBorders>
            <w:shd w:val="clear" w:color="auto" w:fill="D9D9D9" w:themeFill="background1" w:themeFillShade="D9"/>
            <w:noWrap/>
            <w:hideMark/>
          </w:tcPr>
          <w:p w14:paraId="708560A4" w14:textId="77777777" w:rsidR="00655302" w:rsidRPr="00924E62" w:rsidRDefault="00655302" w:rsidP="004F4B5A">
            <w:pPr>
              <w:snapToGrid w:val="0"/>
              <w:jc w:val="center"/>
              <w:rPr>
                <w:rFonts w:cs="Times New Roman"/>
                <w:sz w:val="22"/>
                <w:szCs w:val="22"/>
              </w:rPr>
            </w:pPr>
            <w:r w:rsidRPr="00924E62">
              <w:rPr>
                <w:rFonts w:cs="Times New Roman"/>
                <w:sz w:val="22"/>
                <w:szCs w:val="22"/>
              </w:rPr>
              <w:t>(0,0,0,0,0)</w:t>
            </w:r>
          </w:p>
        </w:tc>
        <w:tc>
          <w:tcPr>
            <w:tcW w:w="2260" w:type="dxa"/>
            <w:tcBorders>
              <w:top w:val="single" w:sz="4" w:space="0" w:color="auto"/>
            </w:tcBorders>
            <w:shd w:val="clear" w:color="auto" w:fill="D9D9D9" w:themeFill="background1" w:themeFillShade="D9"/>
            <w:noWrap/>
            <w:hideMark/>
          </w:tcPr>
          <w:p w14:paraId="47D960F9" w14:textId="77777777" w:rsidR="00655302" w:rsidRPr="00924E62" w:rsidRDefault="00655302" w:rsidP="004F4B5A">
            <w:pPr>
              <w:snapToGrid w:val="0"/>
              <w:jc w:val="center"/>
              <w:rPr>
                <w:rFonts w:cs="Times New Roman"/>
                <w:sz w:val="22"/>
                <w:szCs w:val="22"/>
              </w:rPr>
            </w:pPr>
            <w:r w:rsidRPr="00924E62">
              <w:rPr>
                <w:rFonts w:cs="Times New Roman"/>
                <w:sz w:val="22"/>
                <w:szCs w:val="22"/>
              </w:rPr>
              <w:t>(0,0,0,0,0)</w:t>
            </w:r>
          </w:p>
        </w:tc>
        <w:tc>
          <w:tcPr>
            <w:tcW w:w="2260" w:type="dxa"/>
            <w:tcBorders>
              <w:top w:val="single" w:sz="4" w:space="0" w:color="auto"/>
            </w:tcBorders>
            <w:shd w:val="clear" w:color="auto" w:fill="D9D9D9" w:themeFill="background1" w:themeFillShade="D9"/>
            <w:noWrap/>
            <w:vAlign w:val="bottom"/>
            <w:hideMark/>
          </w:tcPr>
          <w:p w14:paraId="796A11C9"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(0,0,0,0,0)</w:t>
            </w:r>
          </w:p>
        </w:tc>
      </w:tr>
      <w:tr w:rsidR="00655302" w:rsidRPr="00924E62" w14:paraId="3DB0D821" w14:textId="77777777" w:rsidTr="009C5D83">
        <w:trPr>
          <w:trHeight w:val="288"/>
          <w:jc w:val="center"/>
        </w:trPr>
        <w:tc>
          <w:tcPr>
            <w:tcW w:w="2260" w:type="dxa"/>
            <w:shd w:val="clear" w:color="auto" w:fill="D9D9D9" w:themeFill="background1" w:themeFillShade="D9"/>
            <w:noWrap/>
            <w:hideMark/>
          </w:tcPr>
          <w:p w14:paraId="31E61BC3" w14:textId="77777777" w:rsidR="00655302" w:rsidRPr="00924E62" w:rsidRDefault="00655302" w:rsidP="004F4B5A">
            <w:pPr>
              <w:snapToGrid w:val="0"/>
              <w:jc w:val="center"/>
              <w:rPr>
                <w:rFonts w:cs="Times New Roman"/>
                <w:sz w:val="22"/>
                <w:szCs w:val="22"/>
              </w:rPr>
            </w:pPr>
            <w:r w:rsidRPr="00924E62">
              <w:rPr>
                <w:rFonts w:cs="Times New Roman"/>
                <w:sz w:val="22"/>
                <w:szCs w:val="22"/>
              </w:rPr>
              <w:lastRenderedPageBreak/>
              <w:t>(1,0,0,0,0)</w:t>
            </w:r>
          </w:p>
        </w:tc>
        <w:tc>
          <w:tcPr>
            <w:tcW w:w="2260" w:type="dxa"/>
            <w:shd w:val="clear" w:color="auto" w:fill="D9D9D9" w:themeFill="background1" w:themeFillShade="D9"/>
            <w:noWrap/>
            <w:hideMark/>
          </w:tcPr>
          <w:p w14:paraId="63C3E32D" w14:textId="77777777" w:rsidR="00655302" w:rsidRPr="00924E62" w:rsidRDefault="00655302" w:rsidP="004F4B5A">
            <w:pPr>
              <w:snapToGrid w:val="0"/>
              <w:jc w:val="center"/>
              <w:rPr>
                <w:rFonts w:cs="Times New Roman"/>
                <w:sz w:val="22"/>
                <w:szCs w:val="22"/>
              </w:rPr>
            </w:pPr>
            <w:r w:rsidRPr="00924E62">
              <w:rPr>
                <w:rFonts w:cs="Times New Roman"/>
                <w:sz w:val="22"/>
                <w:szCs w:val="22"/>
              </w:rPr>
              <w:t>(1,0,0,0,0)</w:t>
            </w:r>
          </w:p>
        </w:tc>
        <w:tc>
          <w:tcPr>
            <w:tcW w:w="2260" w:type="dxa"/>
            <w:shd w:val="clear" w:color="auto" w:fill="D9D9D9" w:themeFill="background1" w:themeFillShade="D9"/>
            <w:noWrap/>
            <w:hideMark/>
          </w:tcPr>
          <w:p w14:paraId="6CEF1F4B" w14:textId="77777777" w:rsidR="00655302" w:rsidRPr="00924E62" w:rsidRDefault="00655302" w:rsidP="004F4B5A">
            <w:pPr>
              <w:snapToGrid w:val="0"/>
              <w:jc w:val="center"/>
              <w:rPr>
                <w:rFonts w:cs="Times New Roman"/>
                <w:sz w:val="22"/>
                <w:szCs w:val="22"/>
              </w:rPr>
            </w:pPr>
            <w:r w:rsidRPr="00924E62">
              <w:rPr>
                <w:rFonts w:cs="Times New Roman"/>
                <w:sz w:val="22"/>
                <w:szCs w:val="22"/>
              </w:rPr>
              <w:t>(1,0,0,0,0)</w:t>
            </w:r>
          </w:p>
        </w:tc>
        <w:tc>
          <w:tcPr>
            <w:tcW w:w="2260" w:type="dxa"/>
            <w:shd w:val="clear" w:color="auto" w:fill="D9D9D9" w:themeFill="background1" w:themeFillShade="D9"/>
            <w:noWrap/>
            <w:vAlign w:val="bottom"/>
            <w:hideMark/>
          </w:tcPr>
          <w:p w14:paraId="2C907A4E"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(1,0,0,0,0)</w:t>
            </w:r>
          </w:p>
        </w:tc>
      </w:tr>
      <w:tr w:rsidR="00655302" w:rsidRPr="00924E62" w14:paraId="29CCB9B8" w14:textId="77777777" w:rsidTr="009C5D83">
        <w:trPr>
          <w:trHeight w:val="288"/>
          <w:jc w:val="center"/>
        </w:trPr>
        <w:tc>
          <w:tcPr>
            <w:tcW w:w="2260" w:type="dxa"/>
            <w:shd w:val="clear" w:color="auto" w:fill="D9D9D9" w:themeFill="background1" w:themeFillShade="D9"/>
            <w:noWrap/>
            <w:hideMark/>
          </w:tcPr>
          <w:p w14:paraId="44604301" w14:textId="77777777" w:rsidR="00655302" w:rsidRPr="00924E62" w:rsidRDefault="00655302" w:rsidP="004F4B5A">
            <w:pPr>
              <w:snapToGrid w:val="0"/>
              <w:jc w:val="center"/>
              <w:rPr>
                <w:rFonts w:cs="Times New Roman"/>
                <w:sz w:val="22"/>
                <w:szCs w:val="22"/>
              </w:rPr>
            </w:pPr>
            <w:r w:rsidRPr="00924E62">
              <w:rPr>
                <w:rFonts w:cs="Times New Roman"/>
                <w:sz w:val="22"/>
                <w:szCs w:val="22"/>
              </w:rPr>
              <w:t>(1,1,0,0,0)</w:t>
            </w:r>
          </w:p>
        </w:tc>
        <w:tc>
          <w:tcPr>
            <w:tcW w:w="2260" w:type="dxa"/>
            <w:shd w:val="clear" w:color="auto" w:fill="D9D9D9" w:themeFill="background1" w:themeFillShade="D9"/>
            <w:noWrap/>
            <w:hideMark/>
          </w:tcPr>
          <w:p w14:paraId="3BF74F1C" w14:textId="77777777" w:rsidR="00655302" w:rsidRPr="00924E62" w:rsidRDefault="00655302" w:rsidP="004F4B5A">
            <w:pPr>
              <w:snapToGrid w:val="0"/>
              <w:jc w:val="center"/>
              <w:rPr>
                <w:rFonts w:cs="Times New Roman"/>
                <w:sz w:val="22"/>
                <w:szCs w:val="22"/>
              </w:rPr>
            </w:pPr>
            <w:r w:rsidRPr="00924E62">
              <w:rPr>
                <w:rFonts w:cs="Times New Roman"/>
                <w:sz w:val="22"/>
                <w:szCs w:val="22"/>
              </w:rPr>
              <w:t>(1,1,0,0,0)</w:t>
            </w:r>
          </w:p>
        </w:tc>
        <w:tc>
          <w:tcPr>
            <w:tcW w:w="2260" w:type="dxa"/>
            <w:shd w:val="clear" w:color="auto" w:fill="D9D9D9" w:themeFill="background1" w:themeFillShade="D9"/>
            <w:noWrap/>
            <w:hideMark/>
          </w:tcPr>
          <w:p w14:paraId="19A2C588" w14:textId="77777777" w:rsidR="00655302" w:rsidRPr="00924E62" w:rsidRDefault="00655302" w:rsidP="004F4B5A">
            <w:pPr>
              <w:snapToGrid w:val="0"/>
              <w:jc w:val="center"/>
              <w:rPr>
                <w:rFonts w:cs="Times New Roman"/>
                <w:sz w:val="22"/>
                <w:szCs w:val="22"/>
              </w:rPr>
            </w:pPr>
            <w:r w:rsidRPr="00924E62">
              <w:rPr>
                <w:rFonts w:cs="Times New Roman"/>
                <w:sz w:val="22"/>
                <w:szCs w:val="22"/>
              </w:rPr>
              <w:t>(1,1,0,0,0)</w:t>
            </w:r>
          </w:p>
        </w:tc>
        <w:tc>
          <w:tcPr>
            <w:tcW w:w="2260" w:type="dxa"/>
            <w:shd w:val="clear" w:color="auto" w:fill="D9D9D9" w:themeFill="background1" w:themeFillShade="D9"/>
            <w:noWrap/>
            <w:vAlign w:val="bottom"/>
            <w:hideMark/>
          </w:tcPr>
          <w:p w14:paraId="1480BC83"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(1,1,0,0,0)</w:t>
            </w:r>
          </w:p>
        </w:tc>
      </w:tr>
      <w:tr w:rsidR="00655302" w:rsidRPr="00924E62" w14:paraId="2C1269D6" w14:textId="77777777" w:rsidTr="009C5D83">
        <w:trPr>
          <w:trHeight w:val="288"/>
          <w:jc w:val="center"/>
        </w:trPr>
        <w:tc>
          <w:tcPr>
            <w:tcW w:w="2260" w:type="dxa"/>
            <w:shd w:val="clear" w:color="auto" w:fill="D9D9D9" w:themeFill="background1" w:themeFillShade="D9"/>
            <w:noWrap/>
            <w:hideMark/>
          </w:tcPr>
          <w:p w14:paraId="2DFD904D" w14:textId="77777777" w:rsidR="00655302" w:rsidRPr="00924E62" w:rsidRDefault="00655302" w:rsidP="004F4B5A">
            <w:pPr>
              <w:snapToGrid w:val="0"/>
              <w:jc w:val="center"/>
              <w:rPr>
                <w:rFonts w:cs="Times New Roman"/>
                <w:sz w:val="22"/>
                <w:szCs w:val="22"/>
              </w:rPr>
            </w:pPr>
            <w:r w:rsidRPr="00924E62">
              <w:rPr>
                <w:rFonts w:cs="Times New Roman"/>
                <w:sz w:val="22"/>
                <w:szCs w:val="22"/>
              </w:rPr>
              <w:t>(1,1,1,0,0)</w:t>
            </w:r>
          </w:p>
        </w:tc>
        <w:tc>
          <w:tcPr>
            <w:tcW w:w="2260" w:type="dxa"/>
            <w:shd w:val="clear" w:color="auto" w:fill="D9D9D9" w:themeFill="background1" w:themeFillShade="D9"/>
            <w:noWrap/>
            <w:hideMark/>
          </w:tcPr>
          <w:p w14:paraId="7395A63F" w14:textId="77777777" w:rsidR="00655302" w:rsidRPr="00924E62" w:rsidRDefault="00655302" w:rsidP="004F4B5A">
            <w:pPr>
              <w:snapToGrid w:val="0"/>
              <w:jc w:val="center"/>
              <w:rPr>
                <w:rFonts w:cs="Times New Roman"/>
                <w:sz w:val="22"/>
                <w:szCs w:val="22"/>
              </w:rPr>
            </w:pPr>
            <w:r w:rsidRPr="00924E62">
              <w:rPr>
                <w:rFonts w:cs="Times New Roman"/>
                <w:sz w:val="22"/>
                <w:szCs w:val="22"/>
              </w:rPr>
              <w:t>(1,1,1,0,0)</w:t>
            </w:r>
          </w:p>
        </w:tc>
        <w:tc>
          <w:tcPr>
            <w:tcW w:w="2260" w:type="dxa"/>
            <w:shd w:val="clear" w:color="auto" w:fill="D9D9D9" w:themeFill="background1" w:themeFillShade="D9"/>
            <w:noWrap/>
            <w:hideMark/>
          </w:tcPr>
          <w:p w14:paraId="4F17BBA4" w14:textId="77777777" w:rsidR="00655302" w:rsidRPr="00924E62" w:rsidRDefault="00655302" w:rsidP="004F4B5A">
            <w:pPr>
              <w:snapToGrid w:val="0"/>
              <w:jc w:val="center"/>
              <w:rPr>
                <w:rFonts w:cs="Times New Roman"/>
                <w:sz w:val="22"/>
                <w:szCs w:val="22"/>
              </w:rPr>
            </w:pPr>
            <w:r w:rsidRPr="00924E62">
              <w:rPr>
                <w:rFonts w:cs="Times New Roman"/>
                <w:sz w:val="22"/>
                <w:szCs w:val="22"/>
              </w:rPr>
              <w:t>(1,1,1,0,0)</w:t>
            </w:r>
          </w:p>
        </w:tc>
        <w:tc>
          <w:tcPr>
            <w:tcW w:w="2260" w:type="dxa"/>
            <w:shd w:val="clear" w:color="auto" w:fill="D9D9D9" w:themeFill="background1" w:themeFillShade="D9"/>
            <w:noWrap/>
            <w:vAlign w:val="bottom"/>
            <w:hideMark/>
          </w:tcPr>
          <w:p w14:paraId="5C866D0D"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(1,1,1,0,0)</w:t>
            </w:r>
          </w:p>
        </w:tc>
      </w:tr>
      <w:tr w:rsidR="00655302" w:rsidRPr="00924E62" w14:paraId="639EA0FB" w14:textId="77777777" w:rsidTr="009C5D83">
        <w:trPr>
          <w:trHeight w:val="288"/>
          <w:jc w:val="center"/>
        </w:trPr>
        <w:tc>
          <w:tcPr>
            <w:tcW w:w="2260" w:type="dxa"/>
            <w:shd w:val="clear" w:color="auto" w:fill="D9D9D9" w:themeFill="background1" w:themeFillShade="D9"/>
            <w:noWrap/>
            <w:hideMark/>
          </w:tcPr>
          <w:p w14:paraId="5972EF9D" w14:textId="77777777" w:rsidR="00655302" w:rsidRPr="00924E62" w:rsidRDefault="00655302" w:rsidP="004F4B5A">
            <w:pPr>
              <w:snapToGrid w:val="0"/>
              <w:jc w:val="center"/>
              <w:rPr>
                <w:rFonts w:cs="Times New Roman"/>
                <w:sz w:val="22"/>
                <w:szCs w:val="22"/>
              </w:rPr>
            </w:pPr>
            <w:r w:rsidRPr="00924E62">
              <w:rPr>
                <w:rFonts w:cs="Times New Roman"/>
                <w:sz w:val="22"/>
                <w:szCs w:val="22"/>
              </w:rPr>
              <w:t>(1,1,1,1,0)</w:t>
            </w:r>
          </w:p>
        </w:tc>
        <w:tc>
          <w:tcPr>
            <w:tcW w:w="2260" w:type="dxa"/>
            <w:shd w:val="clear" w:color="auto" w:fill="D9D9D9" w:themeFill="background1" w:themeFillShade="D9"/>
            <w:noWrap/>
            <w:hideMark/>
          </w:tcPr>
          <w:p w14:paraId="295F2EB5" w14:textId="77777777" w:rsidR="00655302" w:rsidRPr="00924E62" w:rsidRDefault="00655302" w:rsidP="004F4B5A">
            <w:pPr>
              <w:snapToGrid w:val="0"/>
              <w:jc w:val="center"/>
              <w:rPr>
                <w:rFonts w:cs="Times New Roman"/>
                <w:sz w:val="22"/>
                <w:szCs w:val="22"/>
              </w:rPr>
            </w:pPr>
            <w:r w:rsidRPr="00924E62">
              <w:rPr>
                <w:rFonts w:cs="Times New Roman"/>
                <w:sz w:val="22"/>
                <w:szCs w:val="22"/>
              </w:rPr>
              <w:t>(1,1,1,1,0)</w:t>
            </w:r>
          </w:p>
        </w:tc>
        <w:tc>
          <w:tcPr>
            <w:tcW w:w="2260" w:type="dxa"/>
            <w:shd w:val="clear" w:color="auto" w:fill="D9D9D9" w:themeFill="background1" w:themeFillShade="D9"/>
            <w:noWrap/>
            <w:hideMark/>
          </w:tcPr>
          <w:p w14:paraId="438F92F8" w14:textId="77777777" w:rsidR="00655302" w:rsidRPr="00924E62" w:rsidRDefault="00655302" w:rsidP="004F4B5A">
            <w:pPr>
              <w:snapToGrid w:val="0"/>
              <w:jc w:val="center"/>
              <w:rPr>
                <w:rFonts w:cs="Times New Roman"/>
                <w:sz w:val="22"/>
                <w:szCs w:val="22"/>
              </w:rPr>
            </w:pPr>
            <w:r w:rsidRPr="00924E62">
              <w:rPr>
                <w:rFonts w:cs="Times New Roman"/>
                <w:sz w:val="22"/>
                <w:szCs w:val="22"/>
              </w:rPr>
              <w:t>(1,1,1,1,0)</w:t>
            </w:r>
          </w:p>
        </w:tc>
        <w:tc>
          <w:tcPr>
            <w:tcW w:w="2260" w:type="dxa"/>
            <w:shd w:val="clear" w:color="auto" w:fill="D9D9D9" w:themeFill="background1" w:themeFillShade="D9"/>
            <w:noWrap/>
            <w:vAlign w:val="bottom"/>
            <w:hideMark/>
          </w:tcPr>
          <w:p w14:paraId="76061D4A"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(1,1,1,1,0)</w:t>
            </w:r>
          </w:p>
        </w:tc>
      </w:tr>
      <w:tr w:rsidR="00655302" w:rsidRPr="00924E62" w14:paraId="65264B9E" w14:textId="77777777" w:rsidTr="009C5D83">
        <w:trPr>
          <w:trHeight w:val="288"/>
          <w:jc w:val="center"/>
        </w:trPr>
        <w:tc>
          <w:tcPr>
            <w:tcW w:w="2260" w:type="dxa"/>
            <w:shd w:val="clear" w:color="auto" w:fill="D9D9D9" w:themeFill="background1" w:themeFillShade="D9"/>
            <w:noWrap/>
            <w:hideMark/>
          </w:tcPr>
          <w:p w14:paraId="5792BC30" w14:textId="77777777" w:rsidR="00655302" w:rsidRPr="00924E62" w:rsidRDefault="00655302" w:rsidP="004F4B5A">
            <w:pPr>
              <w:snapToGrid w:val="0"/>
              <w:jc w:val="center"/>
              <w:rPr>
                <w:rFonts w:cs="Times New Roman"/>
                <w:sz w:val="22"/>
                <w:szCs w:val="22"/>
              </w:rPr>
            </w:pPr>
            <w:r w:rsidRPr="00924E62">
              <w:rPr>
                <w:rFonts w:cs="Times New Roman"/>
                <w:sz w:val="22"/>
                <w:szCs w:val="22"/>
              </w:rPr>
              <w:t>(1,1,1,1,1)</w:t>
            </w:r>
          </w:p>
        </w:tc>
        <w:tc>
          <w:tcPr>
            <w:tcW w:w="2260" w:type="dxa"/>
            <w:shd w:val="clear" w:color="auto" w:fill="D9D9D9" w:themeFill="background1" w:themeFillShade="D9"/>
            <w:noWrap/>
            <w:hideMark/>
          </w:tcPr>
          <w:p w14:paraId="334A52B5" w14:textId="77777777" w:rsidR="00655302" w:rsidRPr="00924E62" w:rsidRDefault="00655302" w:rsidP="004F4B5A">
            <w:pPr>
              <w:snapToGrid w:val="0"/>
              <w:jc w:val="center"/>
              <w:rPr>
                <w:rFonts w:cs="Times New Roman"/>
                <w:sz w:val="22"/>
                <w:szCs w:val="22"/>
              </w:rPr>
            </w:pPr>
            <w:r w:rsidRPr="00924E62">
              <w:rPr>
                <w:rFonts w:cs="Times New Roman"/>
                <w:sz w:val="22"/>
                <w:szCs w:val="22"/>
              </w:rPr>
              <w:t>(1,1,1,1,1)</w:t>
            </w:r>
          </w:p>
        </w:tc>
        <w:tc>
          <w:tcPr>
            <w:tcW w:w="2260" w:type="dxa"/>
            <w:shd w:val="clear" w:color="auto" w:fill="D9D9D9" w:themeFill="background1" w:themeFillShade="D9"/>
            <w:noWrap/>
            <w:hideMark/>
          </w:tcPr>
          <w:p w14:paraId="4553B85B" w14:textId="77777777" w:rsidR="00655302" w:rsidRPr="00924E62" w:rsidRDefault="00655302" w:rsidP="004F4B5A">
            <w:pPr>
              <w:snapToGrid w:val="0"/>
              <w:jc w:val="center"/>
              <w:rPr>
                <w:rFonts w:cs="Times New Roman"/>
                <w:sz w:val="22"/>
                <w:szCs w:val="22"/>
              </w:rPr>
            </w:pPr>
            <w:r w:rsidRPr="00924E62">
              <w:rPr>
                <w:rFonts w:cs="Times New Roman"/>
                <w:sz w:val="22"/>
                <w:szCs w:val="22"/>
              </w:rPr>
              <w:t>(1,1,1,1,1)</w:t>
            </w:r>
          </w:p>
        </w:tc>
        <w:tc>
          <w:tcPr>
            <w:tcW w:w="2260" w:type="dxa"/>
            <w:shd w:val="clear" w:color="auto" w:fill="D9D9D9" w:themeFill="background1" w:themeFillShade="D9"/>
            <w:noWrap/>
            <w:vAlign w:val="bottom"/>
            <w:hideMark/>
          </w:tcPr>
          <w:p w14:paraId="37D4434A"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(1,1,1,1,1)</w:t>
            </w:r>
          </w:p>
        </w:tc>
      </w:tr>
      <w:tr w:rsidR="00655302" w:rsidRPr="00924E62" w14:paraId="0BFBCE6A" w14:textId="77777777" w:rsidTr="009C5D83">
        <w:trPr>
          <w:trHeight w:val="288"/>
          <w:jc w:val="center"/>
        </w:trPr>
        <w:tc>
          <w:tcPr>
            <w:tcW w:w="2260" w:type="dxa"/>
            <w:noWrap/>
            <w:hideMark/>
          </w:tcPr>
          <w:p w14:paraId="092FCF28" w14:textId="77777777" w:rsidR="00655302" w:rsidRPr="00924E62" w:rsidRDefault="00655302" w:rsidP="004F4B5A">
            <w:pPr>
              <w:snapToGrid w:val="0"/>
              <w:jc w:val="center"/>
              <w:rPr>
                <w:rFonts w:cs="Times New Roman"/>
                <w:sz w:val="22"/>
                <w:szCs w:val="22"/>
              </w:rPr>
            </w:pPr>
          </w:p>
        </w:tc>
        <w:tc>
          <w:tcPr>
            <w:tcW w:w="2260" w:type="dxa"/>
            <w:shd w:val="clear" w:color="auto" w:fill="D9D9D9" w:themeFill="background1" w:themeFillShade="D9"/>
            <w:noWrap/>
            <w:hideMark/>
          </w:tcPr>
          <w:p w14:paraId="0A2AF472" w14:textId="77777777" w:rsidR="00655302" w:rsidRPr="00924E62" w:rsidRDefault="00655302" w:rsidP="004F4B5A">
            <w:pPr>
              <w:snapToGrid w:val="0"/>
              <w:jc w:val="center"/>
              <w:rPr>
                <w:rFonts w:cs="Times New Roman"/>
                <w:sz w:val="22"/>
                <w:szCs w:val="22"/>
              </w:rPr>
            </w:pPr>
            <w:r w:rsidRPr="00924E62">
              <w:rPr>
                <w:rFonts w:cs="Times New Roman"/>
                <w:sz w:val="22"/>
                <w:szCs w:val="22"/>
              </w:rPr>
              <w:t>(1,1,0,1,0)</w:t>
            </w:r>
          </w:p>
        </w:tc>
        <w:tc>
          <w:tcPr>
            <w:tcW w:w="2260" w:type="dxa"/>
            <w:shd w:val="clear" w:color="auto" w:fill="FFFFFF" w:themeFill="background1"/>
            <w:noWrap/>
            <w:hideMark/>
          </w:tcPr>
          <w:p w14:paraId="2CF074C2" w14:textId="77777777" w:rsidR="00655302" w:rsidRPr="00924E62" w:rsidRDefault="00655302" w:rsidP="004F4B5A">
            <w:pPr>
              <w:snapToGrid w:val="0"/>
              <w:jc w:val="center"/>
              <w:rPr>
                <w:rFonts w:cs="Times New Roman"/>
                <w:sz w:val="22"/>
                <w:szCs w:val="22"/>
              </w:rPr>
            </w:pPr>
          </w:p>
        </w:tc>
        <w:tc>
          <w:tcPr>
            <w:tcW w:w="2260" w:type="dxa"/>
            <w:shd w:val="clear" w:color="auto" w:fill="D9D9D9" w:themeFill="background1" w:themeFillShade="D9"/>
            <w:noWrap/>
            <w:vAlign w:val="bottom"/>
            <w:hideMark/>
          </w:tcPr>
          <w:p w14:paraId="1FBC0AEC"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(1,1,0,1,0)</w:t>
            </w:r>
          </w:p>
        </w:tc>
      </w:tr>
      <w:tr w:rsidR="00655302" w:rsidRPr="00924E62" w14:paraId="7AB16508" w14:textId="77777777" w:rsidTr="009C5D83">
        <w:trPr>
          <w:trHeight w:val="288"/>
          <w:jc w:val="center"/>
        </w:trPr>
        <w:tc>
          <w:tcPr>
            <w:tcW w:w="2260" w:type="dxa"/>
            <w:noWrap/>
            <w:hideMark/>
          </w:tcPr>
          <w:p w14:paraId="562A6158" w14:textId="77777777" w:rsidR="00655302" w:rsidRPr="00924E62" w:rsidRDefault="00655302" w:rsidP="004F4B5A">
            <w:pPr>
              <w:snapToGrid w:val="0"/>
              <w:jc w:val="center"/>
              <w:rPr>
                <w:rFonts w:cs="Times New Roman"/>
                <w:sz w:val="22"/>
                <w:szCs w:val="22"/>
              </w:rPr>
            </w:pPr>
          </w:p>
        </w:tc>
        <w:tc>
          <w:tcPr>
            <w:tcW w:w="2260" w:type="dxa"/>
            <w:shd w:val="clear" w:color="auto" w:fill="FFFFFF" w:themeFill="background1"/>
            <w:noWrap/>
            <w:hideMark/>
          </w:tcPr>
          <w:p w14:paraId="32E54696" w14:textId="77777777" w:rsidR="00655302" w:rsidRPr="00924E62" w:rsidRDefault="00655302" w:rsidP="004F4B5A">
            <w:pPr>
              <w:snapToGrid w:val="0"/>
              <w:jc w:val="center"/>
              <w:rPr>
                <w:rFonts w:cs="Times New Roman"/>
                <w:sz w:val="22"/>
                <w:szCs w:val="22"/>
              </w:rPr>
            </w:pPr>
          </w:p>
        </w:tc>
        <w:tc>
          <w:tcPr>
            <w:tcW w:w="2260" w:type="dxa"/>
            <w:shd w:val="clear" w:color="auto" w:fill="D9D9D9" w:themeFill="background1" w:themeFillShade="D9"/>
            <w:noWrap/>
            <w:hideMark/>
          </w:tcPr>
          <w:p w14:paraId="20D1A543" w14:textId="77777777" w:rsidR="00655302" w:rsidRPr="00924E62" w:rsidRDefault="00655302" w:rsidP="004F4B5A">
            <w:pPr>
              <w:snapToGrid w:val="0"/>
              <w:jc w:val="center"/>
              <w:rPr>
                <w:rFonts w:cs="Times New Roman"/>
                <w:sz w:val="22"/>
                <w:szCs w:val="22"/>
              </w:rPr>
            </w:pPr>
            <w:r w:rsidRPr="00924E62">
              <w:rPr>
                <w:rFonts w:cs="Times New Roman"/>
                <w:sz w:val="22"/>
                <w:szCs w:val="22"/>
              </w:rPr>
              <w:t>(1,1,1,0,1)</w:t>
            </w:r>
          </w:p>
        </w:tc>
        <w:tc>
          <w:tcPr>
            <w:tcW w:w="2260" w:type="dxa"/>
            <w:shd w:val="clear" w:color="auto" w:fill="D9D9D9" w:themeFill="background1" w:themeFillShade="D9"/>
            <w:noWrap/>
            <w:vAlign w:val="bottom"/>
            <w:hideMark/>
          </w:tcPr>
          <w:p w14:paraId="25BDBABB"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(1,1,1,0,1)</w:t>
            </w:r>
          </w:p>
        </w:tc>
      </w:tr>
      <w:tr w:rsidR="00655302" w:rsidRPr="00924E62" w14:paraId="4D4DBB83" w14:textId="77777777" w:rsidTr="009C5D83">
        <w:trPr>
          <w:trHeight w:val="288"/>
          <w:jc w:val="center"/>
        </w:trPr>
        <w:tc>
          <w:tcPr>
            <w:tcW w:w="2260" w:type="dxa"/>
            <w:noWrap/>
            <w:hideMark/>
          </w:tcPr>
          <w:p w14:paraId="027DE097" w14:textId="77777777" w:rsidR="00655302" w:rsidRPr="00924E62" w:rsidRDefault="00655302" w:rsidP="004F4B5A">
            <w:pPr>
              <w:snapToGrid w:val="0"/>
              <w:jc w:val="center"/>
              <w:rPr>
                <w:rFonts w:cs="Times New Roman"/>
                <w:sz w:val="22"/>
                <w:szCs w:val="22"/>
              </w:rPr>
            </w:pPr>
          </w:p>
        </w:tc>
        <w:tc>
          <w:tcPr>
            <w:tcW w:w="2260" w:type="dxa"/>
            <w:noWrap/>
            <w:hideMark/>
          </w:tcPr>
          <w:p w14:paraId="321DBDEC" w14:textId="77777777" w:rsidR="00655302" w:rsidRPr="00924E62" w:rsidRDefault="00655302" w:rsidP="004F4B5A">
            <w:pPr>
              <w:snapToGrid w:val="0"/>
              <w:jc w:val="center"/>
              <w:rPr>
                <w:rFonts w:cs="Times New Roman"/>
                <w:sz w:val="22"/>
                <w:szCs w:val="22"/>
              </w:rPr>
            </w:pPr>
          </w:p>
        </w:tc>
        <w:tc>
          <w:tcPr>
            <w:tcW w:w="2260" w:type="dxa"/>
            <w:noWrap/>
            <w:hideMark/>
          </w:tcPr>
          <w:p w14:paraId="3A0BE200" w14:textId="77777777" w:rsidR="00655302" w:rsidRPr="00924E62" w:rsidRDefault="00655302" w:rsidP="004F4B5A">
            <w:pPr>
              <w:snapToGrid w:val="0"/>
              <w:jc w:val="center"/>
              <w:rPr>
                <w:rFonts w:cs="Times New Roman"/>
                <w:sz w:val="22"/>
                <w:szCs w:val="22"/>
              </w:rPr>
            </w:pPr>
          </w:p>
        </w:tc>
        <w:tc>
          <w:tcPr>
            <w:tcW w:w="2260" w:type="dxa"/>
            <w:noWrap/>
            <w:vAlign w:val="bottom"/>
            <w:hideMark/>
          </w:tcPr>
          <w:p w14:paraId="74E9ED9E"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(1,0,1,0,0)</w:t>
            </w:r>
          </w:p>
        </w:tc>
      </w:tr>
      <w:tr w:rsidR="00655302" w:rsidRPr="00924E62" w14:paraId="4E6412CA" w14:textId="77777777" w:rsidTr="009C5D83">
        <w:trPr>
          <w:trHeight w:val="288"/>
          <w:jc w:val="center"/>
        </w:trPr>
        <w:tc>
          <w:tcPr>
            <w:tcW w:w="2260" w:type="dxa"/>
            <w:noWrap/>
            <w:hideMark/>
          </w:tcPr>
          <w:p w14:paraId="3A1F66D5" w14:textId="77777777" w:rsidR="00655302" w:rsidRPr="00924E62" w:rsidRDefault="00655302" w:rsidP="004F4B5A">
            <w:pPr>
              <w:snapToGrid w:val="0"/>
              <w:jc w:val="center"/>
              <w:rPr>
                <w:rFonts w:cs="Times New Roman"/>
                <w:b/>
                <w:bCs/>
                <w:sz w:val="22"/>
                <w:szCs w:val="22"/>
              </w:rPr>
            </w:pPr>
          </w:p>
        </w:tc>
        <w:tc>
          <w:tcPr>
            <w:tcW w:w="2260" w:type="dxa"/>
            <w:noWrap/>
            <w:hideMark/>
          </w:tcPr>
          <w:p w14:paraId="61B8D5D7" w14:textId="77777777" w:rsidR="00655302" w:rsidRPr="00924E62" w:rsidRDefault="00655302" w:rsidP="004F4B5A">
            <w:pPr>
              <w:snapToGrid w:val="0"/>
              <w:jc w:val="center"/>
              <w:rPr>
                <w:rFonts w:cs="Times New Roman"/>
                <w:sz w:val="22"/>
                <w:szCs w:val="22"/>
              </w:rPr>
            </w:pPr>
          </w:p>
        </w:tc>
        <w:tc>
          <w:tcPr>
            <w:tcW w:w="2260" w:type="dxa"/>
            <w:noWrap/>
            <w:hideMark/>
          </w:tcPr>
          <w:p w14:paraId="0AF0787E" w14:textId="77777777" w:rsidR="00655302" w:rsidRPr="00924E62" w:rsidRDefault="00655302" w:rsidP="004F4B5A">
            <w:pPr>
              <w:snapToGrid w:val="0"/>
              <w:jc w:val="center"/>
              <w:rPr>
                <w:rFonts w:cs="Times New Roman"/>
                <w:sz w:val="22"/>
                <w:szCs w:val="22"/>
              </w:rPr>
            </w:pPr>
          </w:p>
        </w:tc>
        <w:tc>
          <w:tcPr>
            <w:tcW w:w="2260" w:type="dxa"/>
            <w:noWrap/>
            <w:vAlign w:val="bottom"/>
            <w:hideMark/>
          </w:tcPr>
          <w:p w14:paraId="464B3604"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(1,0,0,1,0)</w:t>
            </w:r>
          </w:p>
        </w:tc>
      </w:tr>
      <w:tr w:rsidR="00655302" w:rsidRPr="00924E62" w14:paraId="4EF0AF75" w14:textId="77777777" w:rsidTr="009C5D83">
        <w:trPr>
          <w:trHeight w:val="288"/>
          <w:jc w:val="center"/>
        </w:trPr>
        <w:tc>
          <w:tcPr>
            <w:tcW w:w="2260" w:type="dxa"/>
            <w:noWrap/>
            <w:hideMark/>
          </w:tcPr>
          <w:p w14:paraId="7031B954" w14:textId="77777777" w:rsidR="00655302" w:rsidRPr="00924E62" w:rsidRDefault="00655302" w:rsidP="004F4B5A">
            <w:pPr>
              <w:snapToGrid w:val="0"/>
              <w:jc w:val="center"/>
              <w:rPr>
                <w:rFonts w:cs="Times New Roman"/>
                <w:b/>
                <w:bCs/>
                <w:sz w:val="22"/>
                <w:szCs w:val="22"/>
              </w:rPr>
            </w:pPr>
          </w:p>
        </w:tc>
        <w:tc>
          <w:tcPr>
            <w:tcW w:w="2260" w:type="dxa"/>
            <w:noWrap/>
            <w:hideMark/>
          </w:tcPr>
          <w:p w14:paraId="3E9FC593" w14:textId="77777777" w:rsidR="00655302" w:rsidRPr="00924E62" w:rsidRDefault="00655302" w:rsidP="004F4B5A">
            <w:pPr>
              <w:snapToGrid w:val="0"/>
              <w:jc w:val="center"/>
              <w:rPr>
                <w:rFonts w:cs="Times New Roman"/>
                <w:sz w:val="22"/>
                <w:szCs w:val="22"/>
              </w:rPr>
            </w:pPr>
          </w:p>
        </w:tc>
        <w:tc>
          <w:tcPr>
            <w:tcW w:w="2260" w:type="dxa"/>
            <w:noWrap/>
            <w:hideMark/>
          </w:tcPr>
          <w:p w14:paraId="126B6E33" w14:textId="77777777" w:rsidR="00655302" w:rsidRPr="00924E62" w:rsidRDefault="00655302" w:rsidP="004F4B5A">
            <w:pPr>
              <w:snapToGrid w:val="0"/>
              <w:jc w:val="center"/>
              <w:rPr>
                <w:rFonts w:cs="Times New Roman"/>
                <w:sz w:val="22"/>
                <w:szCs w:val="22"/>
              </w:rPr>
            </w:pPr>
          </w:p>
        </w:tc>
        <w:tc>
          <w:tcPr>
            <w:tcW w:w="2260" w:type="dxa"/>
            <w:noWrap/>
            <w:vAlign w:val="bottom"/>
            <w:hideMark/>
          </w:tcPr>
          <w:p w14:paraId="3E6F4D2E"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(1,0,1,1,0)</w:t>
            </w:r>
          </w:p>
        </w:tc>
      </w:tr>
      <w:tr w:rsidR="00655302" w:rsidRPr="00924E62" w14:paraId="4025AD17" w14:textId="77777777" w:rsidTr="009C5D83">
        <w:trPr>
          <w:trHeight w:val="288"/>
          <w:jc w:val="center"/>
        </w:trPr>
        <w:tc>
          <w:tcPr>
            <w:tcW w:w="2260" w:type="dxa"/>
            <w:noWrap/>
            <w:hideMark/>
          </w:tcPr>
          <w:p w14:paraId="0287FBDE" w14:textId="77777777" w:rsidR="00655302" w:rsidRPr="00924E62" w:rsidRDefault="00655302" w:rsidP="004F4B5A">
            <w:pPr>
              <w:snapToGrid w:val="0"/>
              <w:jc w:val="center"/>
              <w:rPr>
                <w:rFonts w:cs="Times New Roman"/>
                <w:b/>
                <w:bCs/>
                <w:sz w:val="22"/>
                <w:szCs w:val="22"/>
              </w:rPr>
            </w:pPr>
          </w:p>
        </w:tc>
        <w:tc>
          <w:tcPr>
            <w:tcW w:w="2260" w:type="dxa"/>
            <w:noWrap/>
            <w:hideMark/>
          </w:tcPr>
          <w:p w14:paraId="35D61764" w14:textId="77777777" w:rsidR="00655302" w:rsidRPr="00924E62" w:rsidRDefault="00655302" w:rsidP="004F4B5A">
            <w:pPr>
              <w:snapToGrid w:val="0"/>
              <w:jc w:val="center"/>
              <w:rPr>
                <w:rFonts w:cs="Times New Roman"/>
                <w:sz w:val="22"/>
                <w:szCs w:val="22"/>
              </w:rPr>
            </w:pPr>
          </w:p>
        </w:tc>
        <w:tc>
          <w:tcPr>
            <w:tcW w:w="2260" w:type="dxa"/>
            <w:noWrap/>
            <w:hideMark/>
          </w:tcPr>
          <w:p w14:paraId="714C2374" w14:textId="77777777" w:rsidR="00655302" w:rsidRPr="00924E62" w:rsidRDefault="00655302" w:rsidP="004F4B5A">
            <w:pPr>
              <w:snapToGrid w:val="0"/>
              <w:jc w:val="center"/>
              <w:rPr>
                <w:rFonts w:cs="Times New Roman"/>
                <w:sz w:val="22"/>
                <w:szCs w:val="22"/>
              </w:rPr>
            </w:pPr>
          </w:p>
        </w:tc>
        <w:tc>
          <w:tcPr>
            <w:tcW w:w="2260" w:type="dxa"/>
            <w:noWrap/>
            <w:vAlign w:val="bottom"/>
            <w:hideMark/>
          </w:tcPr>
          <w:p w14:paraId="10F91EF7"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(1,0,0,0,1)</w:t>
            </w:r>
          </w:p>
        </w:tc>
      </w:tr>
      <w:tr w:rsidR="00655302" w:rsidRPr="00924E62" w14:paraId="25100F6D" w14:textId="77777777" w:rsidTr="009C5D83">
        <w:trPr>
          <w:trHeight w:val="288"/>
          <w:jc w:val="center"/>
        </w:trPr>
        <w:tc>
          <w:tcPr>
            <w:tcW w:w="2260" w:type="dxa"/>
            <w:noWrap/>
            <w:hideMark/>
          </w:tcPr>
          <w:p w14:paraId="006E3083" w14:textId="77777777" w:rsidR="00655302" w:rsidRPr="00924E62" w:rsidRDefault="00655302" w:rsidP="004F4B5A">
            <w:pPr>
              <w:snapToGrid w:val="0"/>
              <w:jc w:val="center"/>
              <w:rPr>
                <w:rFonts w:cs="Times New Roman"/>
                <w:b/>
                <w:bCs/>
                <w:sz w:val="22"/>
                <w:szCs w:val="22"/>
              </w:rPr>
            </w:pPr>
          </w:p>
        </w:tc>
        <w:tc>
          <w:tcPr>
            <w:tcW w:w="2260" w:type="dxa"/>
            <w:noWrap/>
            <w:hideMark/>
          </w:tcPr>
          <w:p w14:paraId="1E47CD4F" w14:textId="77777777" w:rsidR="00655302" w:rsidRPr="00924E62" w:rsidRDefault="00655302" w:rsidP="004F4B5A">
            <w:pPr>
              <w:snapToGrid w:val="0"/>
              <w:jc w:val="center"/>
              <w:rPr>
                <w:rFonts w:cs="Times New Roman"/>
                <w:sz w:val="22"/>
                <w:szCs w:val="22"/>
              </w:rPr>
            </w:pPr>
          </w:p>
        </w:tc>
        <w:tc>
          <w:tcPr>
            <w:tcW w:w="2260" w:type="dxa"/>
            <w:noWrap/>
            <w:hideMark/>
          </w:tcPr>
          <w:p w14:paraId="439C20A0" w14:textId="77777777" w:rsidR="00655302" w:rsidRPr="00924E62" w:rsidRDefault="00655302" w:rsidP="004F4B5A">
            <w:pPr>
              <w:snapToGrid w:val="0"/>
              <w:jc w:val="center"/>
              <w:rPr>
                <w:rFonts w:cs="Times New Roman"/>
                <w:sz w:val="22"/>
                <w:szCs w:val="22"/>
              </w:rPr>
            </w:pPr>
          </w:p>
        </w:tc>
        <w:tc>
          <w:tcPr>
            <w:tcW w:w="2260" w:type="dxa"/>
            <w:noWrap/>
            <w:vAlign w:val="bottom"/>
            <w:hideMark/>
          </w:tcPr>
          <w:p w14:paraId="579C5FB2"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(1,1,0,0,1)</w:t>
            </w:r>
          </w:p>
        </w:tc>
      </w:tr>
      <w:tr w:rsidR="00655302" w:rsidRPr="00924E62" w14:paraId="026C2331" w14:textId="77777777" w:rsidTr="009C5D83">
        <w:trPr>
          <w:trHeight w:val="288"/>
          <w:jc w:val="center"/>
        </w:trPr>
        <w:tc>
          <w:tcPr>
            <w:tcW w:w="2260" w:type="dxa"/>
            <w:noWrap/>
            <w:hideMark/>
          </w:tcPr>
          <w:p w14:paraId="742C8151" w14:textId="77777777" w:rsidR="00655302" w:rsidRPr="00924E62" w:rsidRDefault="00655302" w:rsidP="004F4B5A">
            <w:pPr>
              <w:snapToGrid w:val="0"/>
              <w:jc w:val="center"/>
              <w:rPr>
                <w:rFonts w:cs="Times New Roman"/>
                <w:b/>
                <w:bCs/>
                <w:sz w:val="22"/>
                <w:szCs w:val="22"/>
              </w:rPr>
            </w:pPr>
          </w:p>
        </w:tc>
        <w:tc>
          <w:tcPr>
            <w:tcW w:w="2260" w:type="dxa"/>
            <w:noWrap/>
            <w:hideMark/>
          </w:tcPr>
          <w:p w14:paraId="6A69ED85" w14:textId="77777777" w:rsidR="00655302" w:rsidRPr="00924E62" w:rsidRDefault="00655302" w:rsidP="004F4B5A">
            <w:pPr>
              <w:snapToGrid w:val="0"/>
              <w:jc w:val="center"/>
              <w:rPr>
                <w:rFonts w:cs="Times New Roman"/>
                <w:sz w:val="22"/>
                <w:szCs w:val="22"/>
              </w:rPr>
            </w:pPr>
          </w:p>
        </w:tc>
        <w:tc>
          <w:tcPr>
            <w:tcW w:w="2260" w:type="dxa"/>
            <w:noWrap/>
            <w:hideMark/>
          </w:tcPr>
          <w:p w14:paraId="7CC9F323" w14:textId="77777777" w:rsidR="00655302" w:rsidRPr="00924E62" w:rsidRDefault="00655302" w:rsidP="004F4B5A">
            <w:pPr>
              <w:snapToGrid w:val="0"/>
              <w:jc w:val="center"/>
              <w:rPr>
                <w:rFonts w:cs="Times New Roman"/>
                <w:sz w:val="22"/>
                <w:szCs w:val="22"/>
              </w:rPr>
            </w:pPr>
          </w:p>
        </w:tc>
        <w:tc>
          <w:tcPr>
            <w:tcW w:w="2260" w:type="dxa"/>
            <w:noWrap/>
            <w:vAlign w:val="bottom"/>
            <w:hideMark/>
          </w:tcPr>
          <w:p w14:paraId="6A816E2A"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(1,0,1,0,1)</w:t>
            </w:r>
          </w:p>
        </w:tc>
      </w:tr>
      <w:tr w:rsidR="00655302" w:rsidRPr="00924E62" w14:paraId="7F20BC49" w14:textId="77777777" w:rsidTr="009C5D83">
        <w:trPr>
          <w:trHeight w:val="288"/>
          <w:jc w:val="center"/>
        </w:trPr>
        <w:tc>
          <w:tcPr>
            <w:tcW w:w="2260" w:type="dxa"/>
            <w:noWrap/>
            <w:hideMark/>
          </w:tcPr>
          <w:p w14:paraId="098ED1CA" w14:textId="77777777" w:rsidR="00655302" w:rsidRPr="00924E62" w:rsidRDefault="00655302" w:rsidP="004F4B5A">
            <w:pPr>
              <w:snapToGrid w:val="0"/>
              <w:jc w:val="center"/>
              <w:rPr>
                <w:rFonts w:cs="Times New Roman"/>
                <w:b/>
                <w:bCs/>
                <w:sz w:val="22"/>
                <w:szCs w:val="22"/>
              </w:rPr>
            </w:pPr>
          </w:p>
        </w:tc>
        <w:tc>
          <w:tcPr>
            <w:tcW w:w="2260" w:type="dxa"/>
            <w:noWrap/>
            <w:hideMark/>
          </w:tcPr>
          <w:p w14:paraId="4712F4B2" w14:textId="77777777" w:rsidR="00655302" w:rsidRPr="00924E62" w:rsidRDefault="00655302" w:rsidP="004F4B5A">
            <w:pPr>
              <w:snapToGrid w:val="0"/>
              <w:jc w:val="center"/>
              <w:rPr>
                <w:rFonts w:cs="Times New Roman"/>
                <w:sz w:val="22"/>
                <w:szCs w:val="22"/>
              </w:rPr>
            </w:pPr>
          </w:p>
        </w:tc>
        <w:tc>
          <w:tcPr>
            <w:tcW w:w="2260" w:type="dxa"/>
            <w:noWrap/>
            <w:hideMark/>
          </w:tcPr>
          <w:p w14:paraId="3D4237FB" w14:textId="77777777" w:rsidR="00655302" w:rsidRPr="00924E62" w:rsidRDefault="00655302" w:rsidP="004F4B5A">
            <w:pPr>
              <w:snapToGrid w:val="0"/>
              <w:jc w:val="center"/>
              <w:rPr>
                <w:rFonts w:cs="Times New Roman"/>
                <w:sz w:val="22"/>
                <w:szCs w:val="22"/>
              </w:rPr>
            </w:pPr>
          </w:p>
        </w:tc>
        <w:tc>
          <w:tcPr>
            <w:tcW w:w="2260" w:type="dxa"/>
            <w:noWrap/>
            <w:vAlign w:val="bottom"/>
            <w:hideMark/>
          </w:tcPr>
          <w:p w14:paraId="306A753F"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(1,0,0,1,1)</w:t>
            </w:r>
          </w:p>
        </w:tc>
      </w:tr>
      <w:tr w:rsidR="00655302" w:rsidRPr="00924E62" w14:paraId="1477518D" w14:textId="77777777" w:rsidTr="009C5D83">
        <w:trPr>
          <w:trHeight w:val="288"/>
          <w:jc w:val="center"/>
        </w:trPr>
        <w:tc>
          <w:tcPr>
            <w:tcW w:w="2260" w:type="dxa"/>
            <w:noWrap/>
            <w:hideMark/>
          </w:tcPr>
          <w:p w14:paraId="25E44AE3" w14:textId="77777777" w:rsidR="00655302" w:rsidRPr="00924E62" w:rsidRDefault="00655302" w:rsidP="004F4B5A">
            <w:pPr>
              <w:snapToGrid w:val="0"/>
              <w:jc w:val="center"/>
              <w:rPr>
                <w:rFonts w:cs="Times New Roman"/>
                <w:b/>
                <w:bCs/>
                <w:sz w:val="22"/>
                <w:szCs w:val="22"/>
              </w:rPr>
            </w:pPr>
          </w:p>
        </w:tc>
        <w:tc>
          <w:tcPr>
            <w:tcW w:w="2260" w:type="dxa"/>
            <w:noWrap/>
            <w:hideMark/>
          </w:tcPr>
          <w:p w14:paraId="42199E70" w14:textId="77777777" w:rsidR="00655302" w:rsidRPr="00924E62" w:rsidRDefault="00655302" w:rsidP="004F4B5A">
            <w:pPr>
              <w:snapToGrid w:val="0"/>
              <w:jc w:val="center"/>
              <w:rPr>
                <w:rFonts w:cs="Times New Roman"/>
                <w:sz w:val="22"/>
                <w:szCs w:val="22"/>
              </w:rPr>
            </w:pPr>
          </w:p>
        </w:tc>
        <w:tc>
          <w:tcPr>
            <w:tcW w:w="2260" w:type="dxa"/>
            <w:noWrap/>
            <w:hideMark/>
          </w:tcPr>
          <w:p w14:paraId="6BDFFC76" w14:textId="77777777" w:rsidR="00655302" w:rsidRPr="00924E62" w:rsidRDefault="00655302" w:rsidP="004F4B5A">
            <w:pPr>
              <w:snapToGrid w:val="0"/>
              <w:jc w:val="center"/>
              <w:rPr>
                <w:rFonts w:cs="Times New Roman"/>
                <w:sz w:val="22"/>
                <w:szCs w:val="22"/>
              </w:rPr>
            </w:pPr>
          </w:p>
        </w:tc>
        <w:tc>
          <w:tcPr>
            <w:tcW w:w="2260" w:type="dxa"/>
            <w:noWrap/>
            <w:vAlign w:val="bottom"/>
            <w:hideMark/>
          </w:tcPr>
          <w:p w14:paraId="0AE5298A"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(1,1,0,1,1)</w:t>
            </w:r>
          </w:p>
        </w:tc>
      </w:tr>
      <w:tr w:rsidR="00655302" w:rsidRPr="00924E62" w14:paraId="4BFD0BC4" w14:textId="77777777" w:rsidTr="009C5D83">
        <w:trPr>
          <w:trHeight w:val="288"/>
          <w:jc w:val="center"/>
        </w:trPr>
        <w:tc>
          <w:tcPr>
            <w:tcW w:w="2260" w:type="dxa"/>
            <w:noWrap/>
            <w:hideMark/>
          </w:tcPr>
          <w:p w14:paraId="40804D76" w14:textId="77777777" w:rsidR="00655302" w:rsidRPr="00924E62" w:rsidRDefault="00655302" w:rsidP="004F4B5A">
            <w:pPr>
              <w:snapToGrid w:val="0"/>
              <w:jc w:val="center"/>
              <w:rPr>
                <w:rFonts w:cs="Times New Roman"/>
                <w:b/>
                <w:bCs/>
                <w:sz w:val="22"/>
                <w:szCs w:val="22"/>
              </w:rPr>
            </w:pPr>
          </w:p>
        </w:tc>
        <w:tc>
          <w:tcPr>
            <w:tcW w:w="2260" w:type="dxa"/>
            <w:noWrap/>
            <w:hideMark/>
          </w:tcPr>
          <w:p w14:paraId="15288D66" w14:textId="77777777" w:rsidR="00655302" w:rsidRPr="00924E62" w:rsidRDefault="00655302" w:rsidP="004F4B5A">
            <w:pPr>
              <w:snapToGrid w:val="0"/>
              <w:jc w:val="center"/>
              <w:rPr>
                <w:rFonts w:cs="Times New Roman"/>
                <w:sz w:val="22"/>
                <w:szCs w:val="22"/>
              </w:rPr>
            </w:pPr>
          </w:p>
        </w:tc>
        <w:tc>
          <w:tcPr>
            <w:tcW w:w="2260" w:type="dxa"/>
            <w:noWrap/>
            <w:hideMark/>
          </w:tcPr>
          <w:p w14:paraId="4FC53A40" w14:textId="77777777" w:rsidR="00655302" w:rsidRPr="00924E62" w:rsidRDefault="00655302" w:rsidP="004F4B5A">
            <w:pPr>
              <w:snapToGrid w:val="0"/>
              <w:jc w:val="center"/>
              <w:rPr>
                <w:rFonts w:cs="Times New Roman"/>
                <w:sz w:val="22"/>
                <w:szCs w:val="22"/>
              </w:rPr>
            </w:pPr>
          </w:p>
        </w:tc>
        <w:tc>
          <w:tcPr>
            <w:tcW w:w="2260" w:type="dxa"/>
            <w:noWrap/>
            <w:vAlign w:val="bottom"/>
            <w:hideMark/>
          </w:tcPr>
          <w:p w14:paraId="5C588BEE" w14:textId="77777777" w:rsidR="00655302" w:rsidRPr="00924E62" w:rsidRDefault="00655302" w:rsidP="004F4B5A">
            <w:pPr>
              <w:snapToGrid w:val="0"/>
              <w:jc w:val="center"/>
              <w:rPr>
                <w:rFonts w:cs="Times New Roman"/>
                <w:sz w:val="22"/>
                <w:szCs w:val="22"/>
              </w:rPr>
            </w:pPr>
            <w:r w:rsidRPr="00924E62">
              <w:rPr>
                <w:rFonts w:cs="Times New Roman"/>
                <w:color w:val="000000"/>
                <w:sz w:val="22"/>
                <w:szCs w:val="22"/>
              </w:rPr>
              <w:t>(1,0,1,1,1)</w:t>
            </w:r>
          </w:p>
        </w:tc>
      </w:tr>
    </w:tbl>
    <w:p w14:paraId="12A736AD" w14:textId="40E4B739" w:rsidR="003A09B2" w:rsidRDefault="00655302" w:rsidP="004F4B5A">
      <w:pPr>
        <w:spacing w:after="0" w:line="360" w:lineRule="auto"/>
        <w:contextualSpacing/>
        <w:jc w:val="both"/>
        <w:rPr>
          <w:rFonts w:eastAsiaTheme="minorEastAsia" w:cs="Times New Roman"/>
        </w:rPr>
      </w:pPr>
      <w:r w:rsidRPr="00924E62">
        <w:rPr>
          <w:rFonts w:eastAsiaTheme="minorEastAsia" w:cs="Times New Roman"/>
          <w:i/>
          <w:iCs/>
        </w:rPr>
        <w:t>Note</w:t>
      </w:r>
      <w:r w:rsidRPr="00924E62">
        <w:rPr>
          <w:rFonts w:eastAsiaTheme="minorEastAsia" w:cs="Times New Roman"/>
        </w:rPr>
        <w:t xml:space="preserve">. </w:t>
      </w:r>
      <w:r w:rsidR="00B24476">
        <w:rPr>
          <w:rFonts w:eastAsiaTheme="minorEastAsia" w:cs="Times New Roman"/>
          <w:i/>
          <w:iCs/>
        </w:rPr>
        <w:t>P</w:t>
      </w:r>
      <w:r w:rsidRPr="00924E62">
        <w:rPr>
          <w:rFonts w:eastAsiaTheme="minorEastAsia" w:cs="Times New Roman"/>
        </w:rPr>
        <w:t xml:space="preserve"> means the number of attribute profiles, and grey colors mean that an attribute profile presented in other hierarchical structures. </w:t>
      </w:r>
    </w:p>
    <w:p w14:paraId="0C1289AC" w14:textId="5D38261B" w:rsidR="00427579" w:rsidRPr="00924E62" w:rsidRDefault="00655302" w:rsidP="009248F5">
      <w:pPr>
        <w:spacing w:after="0" w:line="360" w:lineRule="auto"/>
        <w:contextualSpacing/>
        <w:jc w:val="both"/>
        <w:rPr>
          <w:rFonts w:ascii="Calibri" w:eastAsiaTheme="minorEastAsia" w:hAnsi="Calibri" w:cs="Calibri"/>
          <w:b/>
          <w:sz w:val="24"/>
          <w:szCs w:val="32"/>
        </w:rPr>
      </w:pPr>
      <w:r w:rsidRPr="00924E62">
        <w:rPr>
          <w:rFonts w:eastAsiaTheme="minorEastAsia" w:cs="Times New Roman"/>
        </w:rPr>
        <w:t xml:space="preserve"> </w:t>
      </w:r>
      <w:r w:rsidR="006C2045" w:rsidRPr="00924E62">
        <w:rPr>
          <w:rFonts w:ascii="Calibri" w:eastAsiaTheme="minorEastAsia" w:hAnsi="Calibri" w:cs="Calibri"/>
          <w:b/>
          <w:sz w:val="24"/>
          <w:szCs w:val="32"/>
        </w:rPr>
        <w:t>4.</w:t>
      </w:r>
      <w:r w:rsidR="006C2045" w:rsidRPr="00205D0A">
        <w:rPr>
          <w:rFonts w:ascii="Times New Roman" w:eastAsiaTheme="minorEastAsia" w:hAnsi="Times New Roman" w:cs="Times New Roman"/>
          <w:b/>
          <w:sz w:val="24"/>
          <w:szCs w:val="32"/>
        </w:rPr>
        <w:tab/>
      </w:r>
      <w:r w:rsidR="00205D0A" w:rsidRPr="00924E62">
        <w:rPr>
          <w:rFonts w:ascii="Calibri" w:eastAsiaTheme="minorEastAsia" w:hAnsi="Calibri" w:cs="Calibri"/>
          <w:b/>
          <w:sz w:val="24"/>
          <w:szCs w:val="32"/>
        </w:rPr>
        <w:t>Simulation study</w:t>
      </w:r>
    </w:p>
    <w:p w14:paraId="2B1F4E14" w14:textId="2B0047CC" w:rsidR="00205D0A" w:rsidRPr="00924E62" w:rsidRDefault="00205D0A" w:rsidP="004F4B5A">
      <w:pPr>
        <w:jc w:val="both"/>
        <w:rPr>
          <w:rFonts w:eastAsiaTheme="minorEastAsia" w:cs="Times New Roman"/>
          <w:bCs/>
          <w:color w:val="000000" w:themeColor="text1"/>
        </w:rPr>
      </w:pPr>
      <w:bookmarkStart w:id="2" w:name="_Hlk193213925"/>
      <w:r w:rsidRPr="00924E62">
        <w:rPr>
          <w:rFonts w:cs="Times New Roman"/>
        </w:rPr>
        <w:t>Our simulation study explores the impacts of heterogeneous hierarchical structures on classification accuracy. Specifically, we introduced three mixed proportions of hierarchical structure combinations (0.5/0.5, 0.2/0.8, and 0.8/0.2) among all possible pairs of six heterogeneous hierarchical structures within the four hierarchies in Figure 1 (</w:t>
      </w:r>
      <w:bookmarkStart w:id="3" w:name="_Hlk194313558"/>
      <w:r w:rsidRPr="00924E62">
        <w:rPr>
          <w:rFonts w:cs="Times New Roman"/>
        </w:rPr>
        <w:t xml:space="preserve">e.g., </w:t>
      </w:r>
      <w:r w:rsidR="003103AB">
        <w:rPr>
          <w:rFonts w:cs="Times New Roman"/>
        </w:rPr>
        <w:t>l</w:t>
      </w:r>
      <w:r w:rsidRPr="00924E62">
        <w:rPr>
          <w:rFonts w:cs="Times New Roman"/>
        </w:rPr>
        <w:t xml:space="preserve">inear vs. </w:t>
      </w:r>
      <w:r w:rsidR="003103AB">
        <w:rPr>
          <w:rFonts w:cs="Times New Roman"/>
        </w:rPr>
        <w:t>c</w:t>
      </w:r>
      <w:r w:rsidRPr="00924E62">
        <w:rPr>
          <w:rFonts w:cs="Times New Roman"/>
        </w:rPr>
        <w:t xml:space="preserve">onvergent, </w:t>
      </w:r>
      <w:r w:rsidR="003103AB">
        <w:rPr>
          <w:rFonts w:cs="Times New Roman"/>
        </w:rPr>
        <w:t>l</w:t>
      </w:r>
      <w:r w:rsidRPr="00924E62">
        <w:rPr>
          <w:rFonts w:cs="Times New Roman"/>
        </w:rPr>
        <w:t xml:space="preserve">inear vs. </w:t>
      </w:r>
      <w:r w:rsidR="003103AB">
        <w:rPr>
          <w:rFonts w:cs="Times New Roman"/>
        </w:rPr>
        <w:t>d</w:t>
      </w:r>
      <w:r w:rsidRPr="00924E62">
        <w:rPr>
          <w:rFonts w:cs="Times New Roman"/>
        </w:rPr>
        <w:t xml:space="preserve">ivergent, and </w:t>
      </w:r>
      <w:r w:rsidR="003103AB">
        <w:rPr>
          <w:rFonts w:cs="Times New Roman"/>
        </w:rPr>
        <w:t>l</w:t>
      </w:r>
      <w:r w:rsidRPr="00924E62">
        <w:rPr>
          <w:rFonts w:cs="Times New Roman"/>
        </w:rPr>
        <w:t xml:space="preserve">inear vs. </w:t>
      </w:r>
      <w:r w:rsidR="003103AB">
        <w:rPr>
          <w:rFonts w:cs="Times New Roman"/>
        </w:rPr>
        <w:t>u</w:t>
      </w:r>
      <w:r w:rsidRPr="00924E62">
        <w:rPr>
          <w:rFonts w:cs="Times New Roman"/>
        </w:rPr>
        <w:t>nstructured</w:t>
      </w:r>
      <w:bookmarkEnd w:id="3"/>
      <w:r w:rsidRPr="00924E62">
        <w:rPr>
          <w:rFonts w:cs="Times New Roman"/>
        </w:rPr>
        <w:t>). This yielded 18 types of hierarchical structure mixtures (see Table 2).</w:t>
      </w:r>
      <w:r w:rsidRPr="00924E62">
        <w:rPr>
          <w:rFonts w:eastAsiaTheme="minorEastAsia" w:cs="Times New Roman"/>
          <w:bCs/>
          <w:color w:val="000000" w:themeColor="text1"/>
        </w:rPr>
        <w:t xml:space="preserve"> </w:t>
      </w:r>
      <w:r w:rsidRPr="00924E62">
        <w:rPr>
          <w:rFonts w:cs="Times New Roman"/>
        </w:rPr>
        <w:t xml:space="preserve">In the generation process, each hierarchical structure was represented by three categories within the mixtures: equivalent proportions, minor proportions, and major proportions. For example, Hierarchical Structure Mixture 1 featured an equivalent proportion of linear and convergent hierarchies, whereas Hierarchical Structure Mixture 2 had a minor proportion (i.e., 0.2) from the linear hierarchy and a major proportion (i.e., 0.8) from the divergent hierarchy. </w:t>
      </w:r>
      <w:bookmarkEnd w:id="2"/>
    </w:p>
    <w:p w14:paraId="6B0311A8" w14:textId="77777777" w:rsidR="00205D0A" w:rsidRDefault="00205D0A" w:rsidP="004F4B5A">
      <w:pPr>
        <w:rPr>
          <w:rFonts w:ascii="Times New Roman" w:eastAsiaTheme="minorEastAsia" w:hAnsi="Times New Roman" w:cs="Times New Roman"/>
          <w:bCs/>
          <w:color w:val="000000" w:themeColor="text1"/>
          <w:sz w:val="24"/>
          <w:szCs w:val="24"/>
        </w:rPr>
      </w:pPr>
      <w:bookmarkStart w:id="4" w:name="_GoBack"/>
      <w:bookmarkEnd w:id="4"/>
    </w:p>
    <w:p w14:paraId="1727E91F" w14:textId="008B7A92" w:rsidR="00205D0A" w:rsidRPr="00924E62" w:rsidRDefault="00205D0A" w:rsidP="004F4B5A">
      <w:pPr>
        <w:rPr>
          <w:rFonts w:cs="Times New Roman"/>
        </w:rPr>
      </w:pPr>
      <w:r w:rsidRPr="00924E62">
        <w:rPr>
          <w:rFonts w:eastAsiaTheme="minorEastAsia" w:cs="Times New Roman"/>
          <w:b/>
          <w:bCs/>
          <w:color w:val="000000" w:themeColor="text1"/>
        </w:rPr>
        <w:t xml:space="preserve">Table 2. </w:t>
      </w:r>
      <w:r w:rsidRPr="00924E62">
        <w:rPr>
          <w:rFonts w:eastAsiaTheme="minorEastAsia" w:cs="Times New Roman"/>
          <w:bCs/>
          <w:color w:val="000000" w:themeColor="text1"/>
        </w:rPr>
        <w:t xml:space="preserve">The </w:t>
      </w:r>
      <w:r w:rsidRPr="00924E62">
        <w:rPr>
          <w:rFonts w:cs="Times New Roman"/>
        </w:rPr>
        <w:t>Hierarchical Structure Mixtures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2700"/>
        <w:gridCol w:w="1530"/>
        <w:gridCol w:w="1592"/>
      </w:tblGrid>
      <w:tr w:rsidR="00205D0A" w:rsidRPr="00924E62" w14:paraId="11331182" w14:textId="77777777" w:rsidTr="009C5D83">
        <w:tc>
          <w:tcPr>
            <w:tcW w:w="3240" w:type="dxa"/>
            <w:tcBorders>
              <w:top w:val="single" w:sz="4" w:space="0" w:color="auto"/>
              <w:bottom w:val="single" w:sz="4" w:space="0" w:color="auto"/>
            </w:tcBorders>
          </w:tcPr>
          <w:p w14:paraId="7126FF62" w14:textId="77777777" w:rsidR="00205D0A" w:rsidRPr="00924E62" w:rsidRDefault="00205D0A" w:rsidP="004F4B5A">
            <w:pPr>
              <w:jc w:val="center"/>
              <w:rPr>
                <w:rFonts w:cs="Times New Roman"/>
                <w:bCs/>
                <w:color w:val="000000" w:themeColor="text1"/>
                <w:sz w:val="22"/>
                <w:szCs w:val="22"/>
              </w:rPr>
            </w:pPr>
            <w:r w:rsidRPr="00924E62">
              <w:rPr>
                <w:rFonts w:cs="Times New Roman"/>
                <w:sz w:val="22"/>
                <w:szCs w:val="22"/>
              </w:rPr>
              <w:t>Hierarchical Structure Mixture</w:t>
            </w:r>
          </w:p>
        </w:tc>
        <w:tc>
          <w:tcPr>
            <w:tcW w:w="2700" w:type="dxa"/>
            <w:tcBorders>
              <w:top w:val="single" w:sz="4" w:space="0" w:color="auto"/>
              <w:bottom w:val="single" w:sz="4" w:space="0" w:color="auto"/>
            </w:tcBorders>
          </w:tcPr>
          <w:p w14:paraId="00204A7E" w14:textId="77777777" w:rsidR="00205D0A" w:rsidRPr="00924E62" w:rsidRDefault="00205D0A" w:rsidP="004F4B5A">
            <w:pPr>
              <w:jc w:val="center"/>
              <w:rPr>
                <w:rFonts w:cs="Times New Roman"/>
                <w:bCs/>
                <w:color w:val="000000" w:themeColor="text1"/>
                <w:sz w:val="22"/>
                <w:szCs w:val="22"/>
              </w:rPr>
            </w:pPr>
            <w:r w:rsidRPr="00924E62">
              <w:rPr>
                <w:rFonts w:cs="Times New Roman"/>
                <w:bCs/>
                <w:color w:val="000000" w:themeColor="text1"/>
                <w:sz w:val="22"/>
                <w:szCs w:val="22"/>
              </w:rPr>
              <w:t>Mixed Proportion</w:t>
            </w:r>
          </w:p>
        </w:tc>
        <w:tc>
          <w:tcPr>
            <w:tcW w:w="1530" w:type="dxa"/>
            <w:tcBorders>
              <w:top w:val="single" w:sz="4" w:space="0" w:color="auto"/>
              <w:bottom w:val="single" w:sz="4" w:space="0" w:color="auto"/>
            </w:tcBorders>
          </w:tcPr>
          <w:p w14:paraId="71D668DC" w14:textId="77777777" w:rsidR="00205D0A" w:rsidRPr="00924E62" w:rsidRDefault="00205D0A" w:rsidP="004F4B5A">
            <w:pPr>
              <w:rPr>
                <w:rFonts w:cs="Times New Roman"/>
                <w:bCs/>
                <w:color w:val="000000" w:themeColor="text1"/>
                <w:sz w:val="22"/>
                <w:szCs w:val="22"/>
              </w:rPr>
            </w:pPr>
            <w:r w:rsidRPr="00924E62">
              <w:rPr>
                <w:rFonts w:cs="Times New Roman"/>
                <w:sz w:val="22"/>
                <w:szCs w:val="22"/>
              </w:rPr>
              <w:t>Hierarchy 1</w:t>
            </w:r>
          </w:p>
        </w:tc>
        <w:tc>
          <w:tcPr>
            <w:tcW w:w="1592" w:type="dxa"/>
            <w:tcBorders>
              <w:top w:val="single" w:sz="4" w:space="0" w:color="auto"/>
              <w:bottom w:val="single" w:sz="4" w:space="0" w:color="auto"/>
            </w:tcBorders>
          </w:tcPr>
          <w:p w14:paraId="4981BCC1" w14:textId="77777777" w:rsidR="00205D0A" w:rsidRPr="00924E62" w:rsidRDefault="00205D0A" w:rsidP="004F4B5A">
            <w:pPr>
              <w:rPr>
                <w:rFonts w:cs="Times New Roman"/>
                <w:bCs/>
                <w:color w:val="000000" w:themeColor="text1"/>
                <w:sz w:val="22"/>
                <w:szCs w:val="22"/>
              </w:rPr>
            </w:pPr>
            <w:r w:rsidRPr="00924E62">
              <w:rPr>
                <w:rFonts w:cs="Times New Roman"/>
                <w:sz w:val="22"/>
                <w:szCs w:val="22"/>
              </w:rPr>
              <w:t>Hierarchy 2</w:t>
            </w:r>
          </w:p>
        </w:tc>
      </w:tr>
      <w:tr w:rsidR="00205D0A" w:rsidRPr="00924E62" w14:paraId="2E8B9C59" w14:textId="77777777" w:rsidTr="009C5D83">
        <w:tc>
          <w:tcPr>
            <w:tcW w:w="3240" w:type="dxa"/>
            <w:tcBorders>
              <w:top w:val="single" w:sz="4" w:space="0" w:color="auto"/>
            </w:tcBorders>
            <w:vAlign w:val="bottom"/>
          </w:tcPr>
          <w:p w14:paraId="6F335016"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1</w:t>
            </w:r>
          </w:p>
        </w:tc>
        <w:tc>
          <w:tcPr>
            <w:tcW w:w="2700" w:type="dxa"/>
            <w:tcBorders>
              <w:top w:val="single" w:sz="4" w:space="0" w:color="auto"/>
            </w:tcBorders>
            <w:vAlign w:val="bottom"/>
          </w:tcPr>
          <w:p w14:paraId="1E944E1C"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0.5/0.5</w:t>
            </w:r>
          </w:p>
        </w:tc>
        <w:tc>
          <w:tcPr>
            <w:tcW w:w="1530" w:type="dxa"/>
            <w:tcBorders>
              <w:top w:val="single" w:sz="4" w:space="0" w:color="auto"/>
            </w:tcBorders>
            <w:vAlign w:val="center"/>
          </w:tcPr>
          <w:p w14:paraId="3A85543A"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Linear</w:t>
            </w:r>
          </w:p>
        </w:tc>
        <w:tc>
          <w:tcPr>
            <w:tcW w:w="1592" w:type="dxa"/>
            <w:tcBorders>
              <w:top w:val="single" w:sz="4" w:space="0" w:color="auto"/>
            </w:tcBorders>
            <w:vAlign w:val="center"/>
          </w:tcPr>
          <w:p w14:paraId="27FCF68F"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Convergent</w:t>
            </w:r>
          </w:p>
        </w:tc>
      </w:tr>
      <w:tr w:rsidR="00205D0A" w:rsidRPr="00924E62" w14:paraId="595BDACD" w14:textId="77777777" w:rsidTr="009C5D83">
        <w:tc>
          <w:tcPr>
            <w:tcW w:w="3240" w:type="dxa"/>
            <w:vAlign w:val="bottom"/>
          </w:tcPr>
          <w:p w14:paraId="3CF9D85A"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2</w:t>
            </w:r>
          </w:p>
        </w:tc>
        <w:tc>
          <w:tcPr>
            <w:tcW w:w="2700" w:type="dxa"/>
            <w:vAlign w:val="bottom"/>
          </w:tcPr>
          <w:p w14:paraId="57EDBC40"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0.2/0.8</w:t>
            </w:r>
          </w:p>
        </w:tc>
        <w:tc>
          <w:tcPr>
            <w:tcW w:w="1530" w:type="dxa"/>
            <w:vAlign w:val="center"/>
          </w:tcPr>
          <w:p w14:paraId="565BCEFF"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Linear</w:t>
            </w:r>
          </w:p>
        </w:tc>
        <w:tc>
          <w:tcPr>
            <w:tcW w:w="1592" w:type="dxa"/>
            <w:vAlign w:val="center"/>
          </w:tcPr>
          <w:p w14:paraId="1B20EE1F"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Convergent</w:t>
            </w:r>
          </w:p>
        </w:tc>
      </w:tr>
      <w:tr w:rsidR="00205D0A" w:rsidRPr="00924E62" w14:paraId="0CF339EB" w14:textId="77777777" w:rsidTr="009C5D83">
        <w:tc>
          <w:tcPr>
            <w:tcW w:w="3240" w:type="dxa"/>
            <w:vAlign w:val="bottom"/>
          </w:tcPr>
          <w:p w14:paraId="33E5C583"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3</w:t>
            </w:r>
          </w:p>
        </w:tc>
        <w:tc>
          <w:tcPr>
            <w:tcW w:w="2700" w:type="dxa"/>
            <w:vAlign w:val="bottom"/>
          </w:tcPr>
          <w:p w14:paraId="10D700AB"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0.8/0.2</w:t>
            </w:r>
          </w:p>
        </w:tc>
        <w:tc>
          <w:tcPr>
            <w:tcW w:w="1530" w:type="dxa"/>
            <w:vAlign w:val="center"/>
          </w:tcPr>
          <w:p w14:paraId="23415DF0"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Linear</w:t>
            </w:r>
          </w:p>
        </w:tc>
        <w:tc>
          <w:tcPr>
            <w:tcW w:w="1592" w:type="dxa"/>
            <w:vAlign w:val="center"/>
          </w:tcPr>
          <w:p w14:paraId="1DBD9469"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Convergent</w:t>
            </w:r>
          </w:p>
        </w:tc>
      </w:tr>
      <w:tr w:rsidR="00205D0A" w:rsidRPr="00924E62" w14:paraId="2B0B7759" w14:textId="77777777" w:rsidTr="009C5D83">
        <w:tc>
          <w:tcPr>
            <w:tcW w:w="3240" w:type="dxa"/>
            <w:vAlign w:val="bottom"/>
          </w:tcPr>
          <w:p w14:paraId="6A01A191"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4</w:t>
            </w:r>
          </w:p>
        </w:tc>
        <w:tc>
          <w:tcPr>
            <w:tcW w:w="2700" w:type="dxa"/>
            <w:vAlign w:val="bottom"/>
          </w:tcPr>
          <w:p w14:paraId="5BA03687"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0.5/0.5</w:t>
            </w:r>
          </w:p>
        </w:tc>
        <w:tc>
          <w:tcPr>
            <w:tcW w:w="1530" w:type="dxa"/>
            <w:vAlign w:val="center"/>
          </w:tcPr>
          <w:p w14:paraId="2C58C6BD"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Linear</w:t>
            </w:r>
          </w:p>
        </w:tc>
        <w:tc>
          <w:tcPr>
            <w:tcW w:w="1592" w:type="dxa"/>
            <w:vAlign w:val="center"/>
          </w:tcPr>
          <w:p w14:paraId="64CD1780"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Divergent</w:t>
            </w:r>
          </w:p>
        </w:tc>
      </w:tr>
      <w:tr w:rsidR="00205D0A" w:rsidRPr="00924E62" w14:paraId="32A498B8" w14:textId="77777777" w:rsidTr="009C5D83">
        <w:tc>
          <w:tcPr>
            <w:tcW w:w="3240" w:type="dxa"/>
            <w:vAlign w:val="bottom"/>
          </w:tcPr>
          <w:p w14:paraId="71EE4FBF"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5</w:t>
            </w:r>
          </w:p>
        </w:tc>
        <w:tc>
          <w:tcPr>
            <w:tcW w:w="2700" w:type="dxa"/>
            <w:vAlign w:val="bottom"/>
          </w:tcPr>
          <w:p w14:paraId="5E7637FD"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0.2/0.8</w:t>
            </w:r>
          </w:p>
        </w:tc>
        <w:tc>
          <w:tcPr>
            <w:tcW w:w="1530" w:type="dxa"/>
            <w:vAlign w:val="center"/>
          </w:tcPr>
          <w:p w14:paraId="784ECA6F"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Linear</w:t>
            </w:r>
          </w:p>
        </w:tc>
        <w:tc>
          <w:tcPr>
            <w:tcW w:w="1592" w:type="dxa"/>
            <w:vAlign w:val="center"/>
          </w:tcPr>
          <w:p w14:paraId="01B90940"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Divergent</w:t>
            </w:r>
          </w:p>
        </w:tc>
      </w:tr>
      <w:tr w:rsidR="00205D0A" w:rsidRPr="00924E62" w14:paraId="68212738" w14:textId="77777777" w:rsidTr="009C5D83">
        <w:tc>
          <w:tcPr>
            <w:tcW w:w="3240" w:type="dxa"/>
            <w:vAlign w:val="bottom"/>
          </w:tcPr>
          <w:p w14:paraId="6F8394B9"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6</w:t>
            </w:r>
          </w:p>
        </w:tc>
        <w:tc>
          <w:tcPr>
            <w:tcW w:w="2700" w:type="dxa"/>
            <w:vAlign w:val="bottom"/>
          </w:tcPr>
          <w:p w14:paraId="25ED71CC"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0.8/0.2</w:t>
            </w:r>
          </w:p>
        </w:tc>
        <w:tc>
          <w:tcPr>
            <w:tcW w:w="1530" w:type="dxa"/>
            <w:vAlign w:val="center"/>
          </w:tcPr>
          <w:p w14:paraId="21336ADD"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Linear</w:t>
            </w:r>
          </w:p>
        </w:tc>
        <w:tc>
          <w:tcPr>
            <w:tcW w:w="1592" w:type="dxa"/>
            <w:vAlign w:val="center"/>
          </w:tcPr>
          <w:p w14:paraId="4C976C43"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Divergent</w:t>
            </w:r>
          </w:p>
        </w:tc>
      </w:tr>
      <w:tr w:rsidR="00205D0A" w:rsidRPr="00924E62" w14:paraId="3A7ED88A" w14:textId="77777777" w:rsidTr="009C5D83">
        <w:tc>
          <w:tcPr>
            <w:tcW w:w="3240" w:type="dxa"/>
            <w:vAlign w:val="bottom"/>
          </w:tcPr>
          <w:p w14:paraId="5AEA8A3A"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7</w:t>
            </w:r>
          </w:p>
        </w:tc>
        <w:tc>
          <w:tcPr>
            <w:tcW w:w="2700" w:type="dxa"/>
            <w:vAlign w:val="bottom"/>
          </w:tcPr>
          <w:p w14:paraId="72C5A8B6"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0.5/0.5</w:t>
            </w:r>
          </w:p>
        </w:tc>
        <w:tc>
          <w:tcPr>
            <w:tcW w:w="1530" w:type="dxa"/>
            <w:vAlign w:val="center"/>
          </w:tcPr>
          <w:p w14:paraId="23E63F90"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Linear</w:t>
            </w:r>
          </w:p>
        </w:tc>
        <w:tc>
          <w:tcPr>
            <w:tcW w:w="1592" w:type="dxa"/>
            <w:vAlign w:val="center"/>
          </w:tcPr>
          <w:p w14:paraId="53212B16"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Unsturctured</w:t>
            </w:r>
          </w:p>
        </w:tc>
      </w:tr>
      <w:tr w:rsidR="00205D0A" w:rsidRPr="00924E62" w14:paraId="5C195697" w14:textId="77777777" w:rsidTr="009C5D83">
        <w:tc>
          <w:tcPr>
            <w:tcW w:w="3240" w:type="dxa"/>
            <w:vAlign w:val="bottom"/>
          </w:tcPr>
          <w:p w14:paraId="2F45EF0A"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8</w:t>
            </w:r>
          </w:p>
        </w:tc>
        <w:tc>
          <w:tcPr>
            <w:tcW w:w="2700" w:type="dxa"/>
            <w:vAlign w:val="bottom"/>
          </w:tcPr>
          <w:p w14:paraId="28F0225C"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0.2/0.8</w:t>
            </w:r>
          </w:p>
        </w:tc>
        <w:tc>
          <w:tcPr>
            <w:tcW w:w="1530" w:type="dxa"/>
            <w:vAlign w:val="center"/>
          </w:tcPr>
          <w:p w14:paraId="1F62E117"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Linear</w:t>
            </w:r>
          </w:p>
        </w:tc>
        <w:tc>
          <w:tcPr>
            <w:tcW w:w="1592" w:type="dxa"/>
            <w:vAlign w:val="center"/>
          </w:tcPr>
          <w:p w14:paraId="2F61F5A4"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Unsturctured</w:t>
            </w:r>
          </w:p>
        </w:tc>
      </w:tr>
      <w:tr w:rsidR="00205D0A" w:rsidRPr="00924E62" w14:paraId="16B0A5E5" w14:textId="77777777" w:rsidTr="009C5D83">
        <w:tc>
          <w:tcPr>
            <w:tcW w:w="3240" w:type="dxa"/>
            <w:vAlign w:val="bottom"/>
          </w:tcPr>
          <w:p w14:paraId="531BB9AB"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9</w:t>
            </w:r>
          </w:p>
        </w:tc>
        <w:tc>
          <w:tcPr>
            <w:tcW w:w="2700" w:type="dxa"/>
            <w:vAlign w:val="bottom"/>
          </w:tcPr>
          <w:p w14:paraId="69AEB4A7"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0.8/0.2</w:t>
            </w:r>
          </w:p>
        </w:tc>
        <w:tc>
          <w:tcPr>
            <w:tcW w:w="1530" w:type="dxa"/>
            <w:vAlign w:val="center"/>
          </w:tcPr>
          <w:p w14:paraId="6E555B35"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Linear</w:t>
            </w:r>
          </w:p>
        </w:tc>
        <w:tc>
          <w:tcPr>
            <w:tcW w:w="1592" w:type="dxa"/>
            <w:vAlign w:val="center"/>
          </w:tcPr>
          <w:p w14:paraId="5B98F9B6"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Unsturctured</w:t>
            </w:r>
          </w:p>
        </w:tc>
      </w:tr>
      <w:tr w:rsidR="00205D0A" w:rsidRPr="00924E62" w14:paraId="6A06D8AD" w14:textId="77777777" w:rsidTr="009C5D83">
        <w:tc>
          <w:tcPr>
            <w:tcW w:w="3240" w:type="dxa"/>
            <w:vAlign w:val="bottom"/>
          </w:tcPr>
          <w:p w14:paraId="11D8EF74"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10</w:t>
            </w:r>
          </w:p>
        </w:tc>
        <w:tc>
          <w:tcPr>
            <w:tcW w:w="2700" w:type="dxa"/>
            <w:vAlign w:val="bottom"/>
          </w:tcPr>
          <w:p w14:paraId="4A66DD87"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0.5/0.5</w:t>
            </w:r>
          </w:p>
        </w:tc>
        <w:tc>
          <w:tcPr>
            <w:tcW w:w="1530" w:type="dxa"/>
            <w:vAlign w:val="center"/>
          </w:tcPr>
          <w:p w14:paraId="674D5A35"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Convergent</w:t>
            </w:r>
          </w:p>
        </w:tc>
        <w:tc>
          <w:tcPr>
            <w:tcW w:w="1592" w:type="dxa"/>
            <w:vAlign w:val="center"/>
          </w:tcPr>
          <w:p w14:paraId="1D8A9F1D"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Divergent</w:t>
            </w:r>
          </w:p>
        </w:tc>
      </w:tr>
      <w:tr w:rsidR="00205D0A" w:rsidRPr="00924E62" w14:paraId="784185B6" w14:textId="77777777" w:rsidTr="009C5D83">
        <w:tc>
          <w:tcPr>
            <w:tcW w:w="3240" w:type="dxa"/>
            <w:vAlign w:val="bottom"/>
          </w:tcPr>
          <w:p w14:paraId="23B34715"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lastRenderedPageBreak/>
              <w:t>11</w:t>
            </w:r>
          </w:p>
        </w:tc>
        <w:tc>
          <w:tcPr>
            <w:tcW w:w="2700" w:type="dxa"/>
            <w:vAlign w:val="bottom"/>
          </w:tcPr>
          <w:p w14:paraId="2FBAA920"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0.2/0.8</w:t>
            </w:r>
          </w:p>
        </w:tc>
        <w:tc>
          <w:tcPr>
            <w:tcW w:w="1530" w:type="dxa"/>
            <w:vAlign w:val="center"/>
          </w:tcPr>
          <w:p w14:paraId="26F708D1"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Convergent</w:t>
            </w:r>
          </w:p>
        </w:tc>
        <w:tc>
          <w:tcPr>
            <w:tcW w:w="1592" w:type="dxa"/>
            <w:vAlign w:val="center"/>
          </w:tcPr>
          <w:p w14:paraId="6E1A0BBF"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Divergent</w:t>
            </w:r>
          </w:p>
        </w:tc>
      </w:tr>
      <w:tr w:rsidR="00205D0A" w:rsidRPr="00924E62" w14:paraId="2988CD2D" w14:textId="77777777" w:rsidTr="009C5D83">
        <w:tc>
          <w:tcPr>
            <w:tcW w:w="3240" w:type="dxa"/>
            <w:vAlign w:val="bottom"/>
          </w:tcPr>
          <w:p w14:paraId="04B3838B"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12</w:t>
            </w:r>
          </w:p>
        </w:tc>
        <w:tc>
          <w:tcPr>
            <w:tcW w:w="2700" w:type="dxa"/>
            <w:vAlign w:val="bottom"/>
          </w:tcPr>
          <w:p w14:paraId="75CA18AD"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0.8/0.2</w:t>
            </w:r>
          </w:p>
        </w:tc>
        <w:tc>
          <w:tcPr>
            <w:tcW w:w="1530" w:type="dxa"/>
            <w:vAlign w:val="center"/>
          </w:tcPr>
          <w:p w14:paraId="652192FE"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Convergent</w:t>
            </w:r>
          </w:p>
        </w:tc>
        <w:tc>
          <w:tcPr>
            <w:tcW w:w="1592" w:type="dxa"/>
            <w:vAlign w:val="center"/>
          </w:tcPr>
          <w:p w14:paraId="5410F4B6"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Divergent</w:t>
            </w:r>
          </w:p>
        </w:tc>
      </w:tr>
      <w:tr w:rsidR="00205D0A" w:rsidRPr="00924E62" w14:paraId="71B1577B" w14:textId="77777777" w:rsidTr="009C5D83">
        <w:tc>
          <w:tcPr>
            <w:tcW w:w="3240" w:type="dxa"/>
            <w:vAlign w:val="bottom"/>
          </w:tcPr>
          <w:p w14:paraId="0033EFC6"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13</w:t>
            </w:r>
          </w:p>
        </w:tc>
        <w:tc>
          <w:tcPr>
            <w:tcW w:w="2700" w:type="dxa"/>
            <w:vAlign w:val="bottom"/>
          </w:tcPr>
          <w:p w14:paraId="638229C9"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0.5/0.5</w:t>
            </w:r>
          </w:p>
        </w:tc>
        <w:tc>
          <w:tcPr>
            <w:tcW w:w="1530" w:type="dxa"/>
            <w:vAlign w:val="center"/>
          </w:tcPr>
          <w:p w14:paraId="138A0054"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Convergent</w:t>
            </w:r>
          </w:p>
        </w:tc>
        <w:tc>
          <w:tcPr>
            <w:tcW w:w="1592" w:type="dxa"/>
            <w:vAlign w:val="center"/>
          </w:tcPr>
          <w:p w14:paraId="303B657E"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Unsturctured</w:t>
            </w:r>
          </w:p>
        </w:tc>
      </w:tr>
      <w:tr w:rsidR="00205D0A" w:rsidRPr="00924E62" w14:paraId="59711ACF" w14:textId="77777777" w:rsidTr="009C5D83">
        <w:tc>
          <w:tcPr>
            <w:tcW w:w="3240" w:type="dxa"/>
            <w:vAlign w:val="bottom"/>
          </w:tcPr>
          <w:p w14:paraId="3B75F92D"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14</w:t>
            </w:r>
          </w:p>
        </w:tc>
        <w:tc>
          <w:tcPr>
            <w:tcW w:w="2700" w:type="dxa"/>
            <w:vAlign w:val="bottom"/>
          </w:tcPr>
          <w:p w14:paraId="37E517FA"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0.2/0.8</w:t>
            </w:r>
          </w:p>
        </w:tc>
        <w:tc>
          <w:tcPr>
            <w:tcW w:w="1530" w:type="dxa"/>
            <w:vAlign w:val="center"/>
          </w:tcPr>
          <w:p w14:paraId="6AD5A97C"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Convergent</w:t>
            </w:r>
          </w:p>
        </w:tc>
        <w:tc>
          <w:tcPr>
            <w:tcW w:w="1592" w:type="dxa"/>
            <w:vAlign w:val="center"/>
          </w:tcPr>
          <w:p w14:paraId="21D3E7D2"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Unsturctured</w:t>
            </w:r>
          </w:p>
        </w:tc>
      </w:tr>
      <w:tr w:rsidR="00205D0A" w:rsidRPr="00924E62" w14:paraId="3A901568" w14:textId="77777777" w:rsidTr="009C5D83">
        <w:tc>
          <w:tcPr>
            <w:tcW w:w="3240" w:type="dxa"/>
            <w:vAlign w:val="bottom"/>
          </w:tcPr>
          <w:p w14:paraId="631E67E4"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15</w:t>
            </w:r>
          </w:p>
        </w:tc>
        <w:tc>
          <w:tcPr>
            <w:tcW w:w="2700" w:type="dxa"/>
            <w:vAlign w:val="bottom"/>
          </w:tcPr>
          <w:p w14:paraId="208476DD"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0.8/0.2</w:t>
            </w:r>
          </w:p>
        </w:tc>
        <w:tc>
          <w:tcPr>
            <w:tcW w:w="1530" w:type="dxa"/>
            <w:vAlign w:val="center"/>
          </w:tcPr>
          <w:p w14:paraId="14D0B861"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Convergent</w:t>
            </w:r>
          </w:p>
        </w:tc>
        <w:tc>
          <w:tcPr>
            <w:tcW w:w="1592" w:type="dxa"/>
            <w:vAlign w:val="center"/>
          </w:tcPr>
          <w:p w14:paraId="263E2EA4"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Unsturctured</w:t>
            </w:r>
          </w:p>
        </w:tc>
      </w:tr>
      <w:tr w:rsidR="00205D0A" w:rsidRPr="00924E62" w14:paraId="49D6738F" w14:textId="77777777" w:rsidTr="009C5D83">
        <w:tc>
          <w:tcPr>
            <w:tcW w:w="3240" w:type="dxa"/>
            <w:vAlign w:val="bottom"/>
          </w:tcPr>
          <w:p w14:paraId="449209BA"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16</w:t>
            </w:r>
          </w:p>
        </w:tc>
        <w:tc>
          <w:tcPr>
            <w:tcW w:w="2700" w:type="dxa"/>
            <w:vAlign w:val="bottom"/>
          </w:tcPr>
          <w:p w14:paraId="318C0155"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0.5/0.5</w:t>
            </w:r>
          </w:p>
        </w:tc>
        <w:tc>
          <w:tcPr>
            <w:tcW w:w="1530" w:type="dxa"/>
            <w:vAlign w:val="center"/>
          </w:tcPr>
          <w:p w14:paraId="631BEEC5"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Divergent</w:t>
            </w:r>
          </w:p>
        </w:tc>
        <w:tc>
          <w:tcPr>
            <w:tcW w:w="1592" w:type="dxa"/>
            <w:vAlign w:val="center"/>
          </w:tcPr>
          <w:p w14:paraId="41A3F40D"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Unsturctured</w:t>
            </w:r>
          </w:p>
        </w:tc>
      </w:tr>
      <w:tr w:rsidR="00205D0A" w:rsidRPr="00924E62" w14:paraId="15665E94" w14:textId="77777777" w:rsidTr="009C5D83">
        <w:tc>
          <w:tcPr>
            <w:tcW w:w="3240" w:type="dxa"/>
            <w:vAlign w:val="bottom"/>
          </w:tcPr>
          <w:p w14:paraId="431C10D0"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17</w:t>
            </w:r>
          </w:p>
        </w:tc>
        <w:tc>
          <w:tcPr>
            <w:tcW w:w="2700" w:type="dxa"/>
            <w:vAlign w:val="bottom"/>
          </w:tcPr>
          <w:p w14:paraId="26BDC991"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0.2/0.8</w:t>
            </w:r>
          </w:p>
        </w:tc>
        <w:tc>
          <w:tcPr>
            <w:tcW w:w="1530" w:type="dxa"/>
            <w:vAlign w:val="center"/>
          </w:tcPr>
          <w:p w14:paraId="59EA7686"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Divergent</w:t>
            </w:r>
          </w:p>
        </w:tc>
        <w:tc>
          <w:tcPr>
            <w:tcW w:w="1592" w:type="dxa"/>
            <w:vAlign w:val="center"/>
          </w:tcPr>
          <w:p w14:paraId="12D1CB06"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Unsturctured</w:t>
            </w:r>
          </w:p>
        </w:tc>
      </w:tr>
      <w:tr w:rsidR="00205D0A" w:rsidRPr="00924E62" w14:paraId="17F60E26" w14:textId="77777777" w:rsidTr="009C5D83">
        <w:tc>
          <w:tcPr>
            <w:tcW w:w="3240" w:type="dxa"/>
            <w:vAlign w:val="bottom"/>
          </w:tcPr>
          <w:p w14:paraId="13470C7D"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18</w:t>
            </w:r>
          </w:p>
        </w:tc>
        <w:tc>
          <w:tcPr>
            <w:tcW w:w="2700" w:type="dxa"/>
            <w:vAlign w:val="bottom"/>
          </w:tcPr>
          <w:p w14:paraId="27B6DE25" w14:textId="77777777" w:rsidR="00205D0A" w:rsidRPr="00924E62" w:rsidRDefault="00205D0A" w:rsidP="004F4B5A">
            <w:pPr>
              <w:jc w:val="center"/>
              <w:rPr>
                <w:rFonts w:cs="Times New Roman"/>
                <w:bCs/>
                <w:color w:val="000000" w:themeColor="text1"/>
                <w:sz w:val="22"/>
                <w:szCs w:val="22"/>
              </w:rPr>
            </w:pPr>
            <w:r w:rsidRPr="00924E62">
              <w:rPr>
                <w:rFonts w:cs="Times New Roman"/>
                <w:color w:val="000000"/>
                <w:sz w:val="22"/>
                <w:szCs w:val="22"/>
              </w:rPr>
              <w:t>0.8/0.2</w:t>
            </w:r>
          </w:p>
        </w:tc>
        <w:tc>
          <w:tcPr>
            <w:tcW w:w="1530" w:type="dxa"/>
            <w:vAlign w:val="center"/>
          </w:tcPr>
          <w:p w14:paraId="2D74F6E7"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Divergent</w:t>
            </w:r>
          </w:p>
        </w:tc>
        <w:tc>
          <w:tcPr>
            <w:tcW w:w="1592" w:type="dxa"/>
            <w:vAlign w:val="center"/>
          </w:tcPr>
          <w:p w14:paraId="7B30BE00" w14:textId="77777777" w:rsidR="00205D0A" w:rsidRPr="00924E62" w:rsidRDefault="00205D0A" w:rsidP="004F4B5A">
            <w:pPr>
              <w:rPr>
                <w:rFonts w:cs="Times New Roman"/>
                <w:bCs/>
                <w:color w:val="000000" w:themeColor="text1"/>
                <w:sz w:val="22"/>
                <w:szCs w:val="22"/>
              </w:rPr>
            </w:pPr>
            <w:r w:rsidRPr="00924E62">
              <w:rPr>
                <w:rFonts w:cs="Times New Roman"/>
                <w:color w:val="000000"/>
                <w:sz w:val="22"/>
                <w:szCs w:val="22"/>
              </w:rPr>
              <w:t>Unsturctured</w:t>
            </w:r>
          </w:p>
        </w:tc>
      </w:tr>
    </w:tbl>
    <w:p w14:paraId="55897CEE" w14:textId="77777777" w:rsidR="00205D0A" w:rsidRPr="00924E62" w:rsidRDefault="00205D0A" w:rsidP="004F4B5A">
      <w:pPr>
        <w:rPr>
          <w:rFonts w:eastAsiaTheme="minorEastAsia" w:cs="Times New Roman"/>
          <w:bCs/>
          <w:color w:val="000000" w:themeColor="text1"/>
        </w:rPr>
      </w:pPr>
    </w:p>
    <w:p w14:paraId="168A87FC" w14:textId="77777777" w:rsidR="00205D0A" w:rsidRPr="00924E62" w:rsidRDefault="00205D0A" w:rsidP="004F4B5A">
      <w:pPr>
        <w:spacing w:line="360" w:lineRule="auto"/>
        <w:ind w:firstLine="708"/>
        <w:jc w:val="both"/>
        <w:rPr>
          <w:rFonts w:cs="Times New Roman"/>
        </w:rPr>
      </w:pPr>
      <w:bookmarkStart w:id="5" w:name="_Hlk193213937"/>
      <w:r w:rsidRPr="00924E62">
        <w:rPr>
          <w:rFonts w:cs="Times New Roman"/>
        </w:rPr>
        <w:t xml:space="preserve">We investigated the effects of heterogeneous hierarchical distributions on classification  accuracy. To minimize the influence of the selected CDM, Q-matrix design, and item quality, we used a basic CDM (i.e., the DINA model), two simple Q-matrix structures, and high-quality items. Accordingly, we fixed both the </w:t>
      </w:r>
      <w:r w:rsidRPr="00924E62">
        <w:rPr>
          <w:rFonts w:cs="Times New Roman"/>
          <w:i/>
        </w:rPr>
        <w:t>g</w:t>
      </w:r>
      <w:r w:rsidRPr="00924E62">
        <w:rPr>
          <w:rFonts w:cs="Times New Roman"/>
        </w:rPr>
        <w:t xml:space="preserve">- and </w:t>
      </w:r>
      <w:r w:rsidRPr="00924E62">
        <w:rPr>
          <w:rFonts w:cs="Times New Roman"/>
          <w:i/>
        </w:rPr>
        <w:t>s</w:t>
      </w:r>
      <w:r w:rsidRPr="00924E62">
        <w:rPr>
          <w:rFonts w:cs="Times New Roman"/>
        </w:rPr>
        <w:t xml:space="preserve">-parameters to 0.1 in the DINA model. In the two Q-matrix structures, one had 10 items measuring five attributes and the other had 20 items measuring five attributes. Each item measured a single attribute. We generated 300 examinees. Each examinee had a 50% chance of mastering each attribute independently. This specification yielded 36 conditions: 2 (Q-matrix structure) × 3 (mixed proportion) × 6 (hierarchical structure combination) = 36. Each condition was replicated 30 times. </w:t>
      </w:r>
    </w:p>
    <w:p w14:paraId="5B8F9A00" w14:textId="77777777" w:rsidR="00205D0A" w:rsidRPr="00924E62" w:rsidRDefault="00205D0A" w:rsidP="004F4B5A">
      <w:pPr>
        <w:spacing w:line="360" w:lineRule="auto"/>
        <w:ind w:firstLine="708"/>
        <w:jc w:val="both"/>
        <w:rPr>
          <w:rFonts w:cs="Times New Roman"/>
        </w:rPr>
      </w:pPr>
      <w:r w:rsidRPr="00924E62">
        <w:rPr>
          <w:rFonts w:cs="Times New Roman"/>
        </w:rPr>
        <w:t xml:space="preserve">We fitted each of the 18 mixtures to the four hierarchies in Figure 1 separately, running the simulations with Bayesian estimation via the R package. We assessed classification accuracy by the proportion of examinees with correctly classified </w:t>
      </w:r>
      <w:bookmarkStart w:id="6" w:name="_Hlk193213949"/>
      <w:bookmarkEnd w:id="5"/>
      <w:r w:rsidRPr="00924E62">
        <w:rPr>
          <w:rFonts w:cs="Times New Roman"/>
        </w:rPr>
        <w:t>attribute profiles:</w:t>
      </w:r>
    </w:p>
    <w:p w14:paraId="2F13C878" w14:textId="77777777" w:rsidR="00205D0A" w:rsidRPr="00924E62" w:rsidRDefault="009248F5" w:rsidP="004F4B5A">
      <w:pPr>
        <w:spacing w:line="360" w:lineRule="auto"/>
        <w:jc w:val="right"/>
        <w:rPr>
          <w:rFonts w:cs="Times New Roman"/>
        </w:rPr>
      </w:pPr>
      <m:oMath>
        <m:f>
          <m:fPr>
            <m:ctrlPr>
              <w:rPr>
                <w:rFonts w:ascii="Cambria Math" w:eastAsiaTheme="minorEastAsia" w:hAnsi="Cambria Math" w:cs="Times New Roman"/>
                <w:i/>
                <w:iCs/>
              </w:rPr>
            </m:ctrlPr>
          </m:fPr>
          <m:num>
            <m:nary>
              <m:naryPr>
                <m:chr m:val="∑"/>
                <m:limLoc m:val="subSup"/>
                <m:ctrlPr>
                  <w:rPr>
                    <w:rFonts w:ascii="Cambria Math" w:eastAsiaTheme="minorEastAsia" w:hAnsi="Cambria Math" w:cs="Times New Roman"/>
                    <w:i/>
                    <w:iCs/>
                  </w:rPr>
                </m:ctrlPr>
              </m:naryPr>
              <m:sub>
                <m:r>
                  <w:rPr>
                    <w:rFonts w:ascii="Cambria Math" w:eastAsiaTheme="minorEastAsia" w:hAnsi="Cambria Math" w:cs="Times New Roman"/>
                  </w:rPr>
                  <m:t>i=1</m:t>
                </m:r>
              </m:sub>
              <m:sup>
                <m:r>
                  <w:rPr>
                    <w:rFonts w:ascii="Cambria Math" w:eastAsiaTheme="minorEastAsia" w:hAnsi="Cambria Math" w:cs="Times New Roman"/>
                  </w:rPr>
                  <m:t>N</m:t>
                </m:r>
              </m:sup>
              <m:e>
                <m:r>
                  <w:rPr>
                    <w:rFonts w:ascii="Cambria Math" w:eastAsiaTheme="minorEastAsia" w:hAnsi="Cambria Math" w:cs="Times New Roman"/>
                  </w:rPr>
                  <m:t>I</m:t>
                </m:r>
                <m:d>
                  <m:dPr>
                    <m:ctrlPr>
                      <w:rPr>
                        <w:rFonts w:ascii="Cambria Math" w:eastAsiaTheme="minorEastAsia" w:hAnsi="Cambria Math" w:cs="Times New Roman"/>
                        <w:i/>
                        <w:iCs/>
                      </w:rPr>
                    </m:ctrlPr>
                  </m:dPr>
                  <m:e>
                    <m:sSub>
                      <m:sSubPr>
                        <m:ctrlPr>
                          <w:rPr>
                            <w:rFonts w:ascii="Cambria Math" w:eastAsiaTheme="minorEastAsia" w:hAnsi="Cambria Math" w:cs="Times New Roman"/>
                            <w:i/>
                            <w:iCs/>
                          </w:rPr>
                        </m:ctrlPr>
                      </m:sSubPr>
                      <m:e>
                        <m:acc>
                          <m:accPr>
                            <m:ctrlPr>
                              <w:rPr>
                                <w:rFonts w:ascii="Cambria Math" w:eastAsiaTheme="minorEastAsia" w:hAnsi="Cambria Math" w:cs="Times New Roman"/>
                                <w:i/>
                                <w:iCs/>
                              </w:rPr>
                            </m:ctrlPr>
                          </m:accPr>
                          <m:e>
                            <m:r>
                              <m:rPr>
                                <m:sty m:val="bi"/>
                              </m:rPr>
                              <w:rPr>
                                <w:rFonts w:ascii="Cambria Math" w:eastAsiaTheme="minorEastAsia" w:hAnsi="Cambria Math" w:cs="Times New Roman"/>
                              </w:rPr>
                              <m:t>α</m:t>
                            </m:r>
                          </m:e>
                        </m:acc>
                      </m:e>
                      <m:sub>
                        <m:r>
                          <w:rPr>
                            <w:rFonts w:ascii="Cambria Math" w:eastAsiaTheme="minorEastAsia" w:hAnsi="Cambria Math" w:cs="Times New Roman"/>
                          </w:rPr>
                          <m:t>i</m:t>
                        </m:r>
                      </m:sub>
                    </m:sSub>
                    <m:sSub>
                      <m:sSubPr>
                        <m:ctrlPr>
                          <w:rPr>
                            <w:rFonts w:ascii="Cambria Math" w:eastAsiaTheme="minorEastAsia" w:hAnsi="Cambria Math" w:cs="Times New Roman"/>
                            <w:i/>
                            <w:iCs/>
                          </w:rPr>
                        </m:ctrlPr>
                      </m:sSubPr>
                      <m:e>
                        <m:r>
                          <m:rPr>
                            <m:sty m:val="bi"/>
                          </m:rPr>
                          <w:rPr>
                            <w:rFonts w:ascii="Cambria Math" w:eastAsiaTheme="minorEastAsia" w:hAnsi="Cambria Math" w:cs="Times New Roman"/>
                          </w:rPr>
                          <m:t>α</m:t>
                        </m:r>
                      </m:e>
                      <m:sub>
                        <m:r>
                          <w:rPr>
                            <w:rFonts w:ascii="Cambria Math" w:eastAsiaTheme="minorEastAsia" w:hAnsi="Cambria Math" w:cs="Times New Roman"/>
                          </w:rPr>
                          <m:t>i</m:t>
                        </m:r>
                      </m:sub>
                    </m:sSub>
                  </m:e>
                </m:d>
              </m:e>
            </m:nary>
          </m:num>
          <m:den>
            <m:r>
              <w:rPr>
                <w:rFonts w:ascii="Cambria Math" w:eastAsiaTheme="minorEastAsia" w:hAnsi="Cambria Math" w:cs="Times New Roman"/>
              </w:rPr>
              <m:t>N</m:t>
            </m:r>
          </m:den>
        </m:f>
      </m:oMath>
      <w:r w:rsidR="00205D0A" w:rsidRPr="00924E62">
        <w:rPr>
          <w:rFonts w:eastAsiaTheme="minorEastAsia" w:cs="Times New Roman"/>
          <w:iCs/>
        </w:rPr>
        <w:t>.</w:t>
      </w:r>
      <w:r w:rsidR="00205D0A" w:rsidRPr="00924E62">
        <w:rPr>
          <w:rFonts w:eastAsiaTheme="minorEastAsia" w:cs="Times New Roman"/>
          <w:iCs/>
        </w:rPr>
        <w:tab/>
        <w:t xml:space="preserve">                                   </w:t>
      </w:r>
      <w:r w:rsidR="00205D0A" w:rsidRPr="00924E62">
        <w:rPr>
          <w:rFonts w:eastAsiaTheme="minorEastAsia" w:cs="Times New Roman"/>
          <w:iCs/>
        </w:rPr>
        <w:tab/>
      </w:r>
      <w:r w:rsidR="00205D0A" w:rsidRPr="00924E62">
        <w:rPr>
          <w:rFonts w:eastAsiaTheme="minorEastAsia" w:cs="Times New Roman"/>
          <w:iCs/>
        </w:rPr>
        <w:tab/>
      </w:r>
      <w:r w:rsidR="00205D0A" w:rsidRPr="00924E62">
        <w:rPr>
          <w:rFonts w:eastAsiaTheme="minorEastAsia" w:cs="Times New Roman"/>
          <w:iCs/>
        </w:rPr>
        <w:tab/>
        <w:t>(2)</w:t>
      </w:r>
    </w:p>
    <w:p w14:paraId="24FE6E99" w14:textId="6130BF5F" w:rsidR="00205D0A" w:rsidRPr="00924E62" w:rsidRDefault="00205D0A" w:rsidP="004F4B5A">
      <w:pPr>
        <w:spacing w:line="360" w:lineRule="auto"/>
        <w:rPr>
          <w:rFonts w:eastAsiaTheme="minorEastAsia" w:cs="Times New Roman"/>
          <w:bCs/>
          <w:color w:val="000000" w:themeColor="text1"/>
        </w:rPr>
      </w:pPr>
      <w:r w:rsidRPr="00924E62">
        <w:rPr>
          <w:rFonts w:eastAsiaTheme="minorEastAsia" w:cs="Times New Roman"/>
          <w:bCs/>
          <w:color w:val="000000" w:themeColor="text1"/>
        </w:rPr>
        <w:t xml:space="preserve">If  </w:t>
      </w:r>
      <m:oMath>
        <m:sSub>
          <m:sSubPr>
            <m:ctrlPr>
              <w:rPr>
                <w:rFonts w:ascii="Cambria Math" w:eastAsiaTheme="minorEastAsia" w:hAnsi="Cambria Math" w:cs="Times New Roman"/>
                <w:i/>
                <w:iCs/>
              </w:rPr>
            </m:ctrlPr>
          </m:sSubPr>
          <m:e>
            <m:acc>
              <m:accPr>
                <m:ctrlPr>
                  <w:rPr>
                    <w:rFonts w:ascii="Cambria Math" w:eastAsiaTheme="minorEastAsia" w:hAnsi="Cambria Math" w:cs="Times New Roman"/>
                    <w:i/>
                    <w:iCs/>
                  </w:rPr>
                </m:ctrlPr>
              </m:accPr>
              <m:e>
                <m:r>
                  <m:rPr>
                    <m:sty m:val="bi"/>
                  </m:rPr>
                  <w:rPr>
                    <w:rFonts w:ascii="Cambria Math" w:eastAsiaTheme="minorEastAsia" w:hAnsi="Cambria Math" w:cs="Times New Roman"/>
                  </w:rPr>
                  <m:t>α</m:t>
                </m:r>
              </m:e>
            </m:acc>
          </m:e>
          <m:sub>
            <m:r>
              <w:rPr>
                <w:rFonts w:ascii="Cambria Math" w:eastAsiaTheme="minorEastAsia" w:hAnsi="Cambria Math" w:cs="Times New Roman"/>
              </w:rPr>
              <m:t>i</m:t>
            </m:r>
          </m:sub>
        </m:sSub>
        <m:sSub>
          <m:sSubPr>
            <m:ctrlPr>
              <w:rPr>
                <w:rFonts w:ascii="Cambria Math" w:eastAsiaTheme="minorEastAsia" w:hAnsi="Cambria Math" w:cs="Times New Roman"/>
                <w:i/>
                <w:iCs/>
              </w:rPr>
            </m:ctrlPr>
          </m:sSubPr>
          <m:e>
            <m:r>
              <m:rPr>
                <m:sty m:val="bi"/>
              </m:rPr>
              <w:rPr>
                <w:rFonts w:ascii="Cambria Math" w:eastAsiaTheme="minorEastAsia" w:hAnsi="Cambria Math" w:cs="Times New Roman"/>
              </w:rPr>
              <m:t>=α</m:t>
            </m:r>
          </m:e>
          <m:sub>
            <m:r>
              <w:rPr>
                <w:rFonts w:ascii="Cambria Math" w:eastAsiaTheme="minorEastAsia" w:hAnsi="Cambria Math" w:cs="Times New Roman"/>
              </w:rPr>
              <m:t>i</m:t>
            </m:r>
          </m:sub>
        </m:sSub>
      </m:oMath>
      <w:r w:rsidRPr="00924E62">
        <w:rPr>
          <w:rFonts w:eastAsiaTheme="minorEastAsia" w:cs="Times New Roman"/>
          <w:iCs/>
        </w:rPr>
        <w:t xml:space="preserve"> </w:t>
      </w:r>
      <w:r w:rsidRPr="00924E62">
        <w:rPr>
          <w:rFonts w:eastAsiaTheme="minorEastAsia" w:cs="Times New Roman"/>
          <w:bCs/>
          <w:color w:val="000000" w:themeColor="text1"/>
        </w:rPr>
        <w:t xml:space="preserve">, the indicator function </w:t>
      </w:r>
      <m:oMath>
        <m:r>
          <w:rPr>
            <w:rFonts w:ascii="Cambria Math" w:eastAsiaTheme="minorEastAsia" w:hAnsi="Cambria Math" w:cs="Times New Roman"/>
            <w:color w:val="000000" w:themeColor="text1"/>
          </w:rPr>
          <m:t>I</m:t>
        </m:r>
        <m:d>
          <m:dPr>
            <m:ctrlPr>
              <w:rPr>
                <w:rFonts w:ascii="Cambria Math" w:eastAsiaTheme="minorEastAsia" w:hAnsi="Cambria Math" w:cs="Times New Roman"/>
                <w:i/>
                <w:iCs/>
              </w:rPr>
            </m:ctrlPr>
          </m:dPr>
          <m:e>
            <m:sSub>
              <m:sSubPr>
                <m:ctrlPr>
                  <w:rPr>
                    <w:rFonts w:ascii="Cambria Math" w:eastAsiaTheme="minorEastAsia" w:hAnsi="Cambria Math" w:cs="Times New Roman"/>
                    <w:i/>
                    <w:iCs/>
                  </w:rPr>
                </m:ctrlPr>
              </m:sSubPr>
              <m:e>
                <m:acc>
                  <m:accPr>
                    <m:ctrlPr>
                      <w:rPr>
                        <w:rFonts w:ascii="Cambria Math" w:eastAsiaTheme="minorEastAsia" w:hAnsi="Cambria Math" w:cs="Times New Roman"/>
                        <w:i/>
                        <w:iCs/>
                      </w:rPr>
                    </m:ctrlPr>
                  </m:accPr>
                  <m:e>
                    <m:r>
                      <m:rPr>
                        <m:sty m:val="bi"/>
                      </m:rPr>
                      <w:rPr>
                        <w:rFonts w:ascii="Cambria Math" w:eastAsiaTheme="minorEastAsia" w:hAnsi="Cambria Math" w:cs="Times New Roman"/>
                      </w:rPr>
                      <m:t>α</m:t>
                    </m:r>
                  </m:e>
                </m:acc>
              </m:e>
              <m:sub>
                <m:r>
                  <w:rPr>
                    <w:rFonts w:ascii="Cambria Math" w:eastAsiaTheme="minorEastAsia" w:hAnsi="Cambria Math" w:cs="Times New Roman"/>
                  </w:rPr>
                  <m:t>i</m:t>
                </m:r>
              </m:sub>
            </m:sSub>
            <m:sSub>
              <m:sSubPr>
                <m:ctrlPr>
                  <w:rPr>
                    <w:rFonts w:ascii="Cambria Math" w:eastAsiaTheme="minorEastAsia" w:hAnsi="Cambria Math" w:cs="Times New Roman"/>
                    <w:i/>
                    <w:iCs/>
                  </w:rPr>
                </m:ctrlPr>
              </m:sSubPr>
              <m:e>
                <m:r>
                  <m:rPr>
                    <m:sty m:val="bi"/>
                  </m:rPr>
                  <w:rPr>
                    <w:rFonts w:ascii="Cambria Math" w:eastAsiaTheme="minorEastAsia" w:hAnsi="Cambria Math" w:cs="Times New Roman"/>
                  </w:rPr>
                  <m:t>α</m:t>
                </m:r>
              </m:e>
              <m:sub>
                <m:r>
                  <w:rPr>
                    <w:rFonts w:ascii="Cambria Math" w:eastAsiaTheme="minorEastAsia" w:hAnsi="Cambria Math" w:cs="Times New Roman"/>
                  </w:rPr>
                  <m:t>i</m:t>
                </m:r>
              </m:sub>
            </m:sSub>
          </m:e>
        </m:d>
      </m:oMath>
      <w:r w:rsidRPr="00924E62">
        <w:rPr>
          <w:rFonts w:eastAsiaTheme="minorEastAsia" w:cs="Times New Roman"/>
          <w:bCs/>
          <w:color w:val="000000" w:themeColor="text1"/>
        </w:rPr>
        <w:t xml:space="preserve"> equals 1</w:t>
      </w:r>
      <w:r w:rsidR="0029494A">
        <w:rPr>
          <w:rFonts w:eastAsiaTheme="minorEastAsia" w:cs="Times New Roman"/>
          <w:bCs/>
          <w:color w:val="000000" w:themeColor="text1"/>
        </w:rPr>
        <w:t xml:space="preserve">; otherwise, it equals </w:t>
      </w:r>
      <w:r w:rsidRPr="00924E62">
        <w:rPr>
          <w:rFonts w:eastAsiaTheme="minorEastAsia" w:cs="Times New Roman"/>
          <w:bCs/>
          <w:color w:val="000000" w:themeColor="text1"/>
        </w:rPr>
        <w:t xml:space="preserve">0. </w:t>
      </w:r>
      <w:r w:rsidRPr="00924E62">
        <w:rPr>
          <w:rFonts w:eastAsiaTheme="minorEastAsia" w:cs="Times New Roman"/>
          <w:bCs/>
          <w:i/>
          <w:color w:val="000000" w:themeColor="text1"/>
        </w:rPr>
        <w:t>N</w:t>
      </w:r>
      <w:r w:rsidRPr="00924E62">
        <w:rPr>
          <w:rFonts w:eastAsiaTheme="minorEastAsia" w:cs="Times New Roman"/>
          <w:bCs/>
          <w:color w:val="000000" w:themeColor="text1"/>
        </w:rPr>
        <w:t xml:space="preserve"> is the total number of examinees. </w:t>
      </w:r>
    </w:p>
    <w:bookmarkEnd w:id="6"/>
    <w:p w14:paraId="5B4D98D6" w14:textId="553CAECB" w:rsidR="00205D0A" w:rsidRPr="00924E62" w:rsidRDefault="00205D0A" w:rsidP="004F4B5A">
      <w:pPr>
        <w:jc w:val="both"/>
        <w:rPr>
          <w:rFonts w:ascii="Calibri" w:eastAsiaTheme="minorEastAsia" w:hAnsi="Calibri" w:cs="Calibri"/>
          <w:b/>
          <w:color w:val="000000" w:themeColor="text1"/>
          <w:sz w:val="24"/>
          <w:szCs w:val="24"/>
        </w:rPr>
      </w:pPr>
      <w:r w:rsidRPr="00924E62">
        <w:rPr>
          <w:rFonts w:ascii="Calibri" w:eastAsiaTheme="minorEastAsia" w:hAnsi="Calibri" w:cs="Calibri"/>
          <w:b/>
          <w:sz w:val="24"/>
          <w:szCs w:val="32"/>
        </w:rPr>
        <w:t>5.</w:t>
      </w:r>
      <w:r w:rsidRPr="00924E62">
        <w:rPr>
          <w:rFonts w:ascii="Calibri" w:eastAsiaTheme="minorEastAsia" w:hAnsi="Calibri" w:cs="Calibri"/>
          <w:b/>
          <w:sz w:val="24"/>
          <w:szCs w:val="32"/>
        </w:rPr>
        <w:tab/>
      </w:r>
      <w:r w:rsidRPr="00924E62">
        <w:rPr>
          <w:rFonts w:ascii="Calibri" w:eastAsiaTheme="minorEastAsia" w:hAnsi="Calibri" w:cs="Calibri"/>
          <w:b/>
          <w:color w:val="000000" w:themeColor="text1"/>
          <w:sz w:val="24"/>
          <w:szCs w:val="24"/>
        </w:rPr>
        <w:t>Simulation result</w:t>
      </w:r>
    </w:p>
    <w:p w14:paraId="39B974FC" w14:textId="736B85F3" w:rsidR="00205D0A" w:rsidRPr="00924E62" w:rsidRDefault="00205D0A" w:rsidP="004F4B5A">
      <w:pPr>
        <w:spacing w:line="360" w:lineRule="auto"/>
        <w:jc w:val="both"/>
        <w:rPr>
          <w:rFonts w:cs="Times New Roman"/>
        </w:rPr>
      </w:pPr>
      <w:bookmarkStart w:id="7" w:name="_Hlk193214937"/>
      <w:r w:rsidRPr="004F4B5A">
        <w:rPr>
          <w:rFonts w:cs="Times New Roman"/>
        </w:rPr>
        <w:t>Figure</w:t>
      </w:r>
      <w:r w:rsidR="008118FB" w:rsidRPr="004F4B5A">
        <w:rPr>
          <w:rFonts w:cs="Times New Roman"/>
        </w:rPr>
        <w:t>s</w:t>
      </w:r>
      <w:r w:rsidRPr="004F4B5A">
        <w:rPr>
          <w:rFonts w:cs="Times New Roman"/>
        </w:rPr>
        <w:t xml:space="preserve"> 2 </w:t>
      </w:r>
      <w:r w:rsidR="008118FB" w:rsidRPr="004F4B5A">
        <w:rPr>
          <w:rFonts w:cs="Times New Roman"/>
        </w:rPr>
        <w:t xml:space="preserve">and 3 </w:t>
      </w:r>
      <w:r w:rsidRPr="004F4B5A">
        <w:rPr>
          <w:rFonts w:cs="Times New Roman"/>
        </w:rPr>
        <w:t>show the classification accuracies across 36 simulation conditions</w:t>
      </w:r>
      <w:r w:rsidR="008118FB" w:rsidRPr="004F4B5A">
        <w:rPr>
          <w:rFonts w:cs="Times New Roman"/>
        </w:rPr>
        <w:t>,</w:t>
      </w:r>
      <w:r w:rsidRPr="004F4B5A">
        <w:rPr>
          <w:rFonts w:cs="Times New Roman"/>
        </w:rPr>
        <w:t xml:space="preserve"> </w:t>
      </w:r>
      <w:r w:rsidR="008118FB" w:rsidRPr="004F4B5A">
        <w:rPr>
          <w:rFonts w:cs="Times New Roman"/>
        </w:rPr>
        <w:t xml:space="preserve">fitting </w:t>
      </w:r>
      <w:r w:rsidR="00B737C3" w:rsidRPr="004F4B5A">
        <w:rPr>
          <w:rFonts w:cs="Times New Roman"/>
        </w:rPr>
        <w:t>the</w:t>
      </w:r>
      <w:r w:rsidRPr="004F4B5A">
        <w:rPr>
          <w:rFonts w:cs="Times New Roman"/>
        </w:rPr>
        <w:t xml:space="preserve"> linear, convergent, divergent, and unstructured hierarchies. As anticipated, the classification accuracy rates under the 20×5 Q-matrix were higher than those observed for the 10</w:t>
      </w:r>
      <w:r w:rsidRPr="00381ED2">
        <w:rPr>
          <w:rFonts w:cs="Times New Roman"/>
        </w:rPr>
        <w:t>×5 Q-matrix. This pattern held consistent across different mixture proportions and hierarchical structure</w:t>
      </w:r>
      <w:r w:rsidRPr="00924E62">
        <w:rPr>
          <w:rFonts w:cs="Times New Roman"/>
        </w:rPr>
        <w:t xml:space="preserve"> compositions. The superior performance of the 20×5 Q-matrix can be attributed to its greater informational capacity; the larger number of items facilitates a more precise estimation of examinees' attribute profiles compared to the smaller items in the 10×5 Q-matrix.</w:t>
      </w:r>
    </w:p>
    <w:p w14:paraId="1AC9B5B3" w14:textId="4DBB8ED7" w:rsidR="00205D0A" w:rsidRPr="00924E62" w:rsidRDefault="00205D0A" w:rsidP="004F4B5A">
      <w:pPr>
        <w:spacing w:line="360" w:lineRule="auto"/>
        <w:ind w:firstLine="708"/>
        <w:jc w:val="both"/>
        <w:rPr>
          <w:rFonts w:cs="Times New Roman"/>
        </w:rPr>
      </w:pPr>
      <w:r w:rsidRPr="00924E62">
        <w:rPr>
          <w:rFonts w:cs="Times New Roman"/>
        </w:rPr>
        <w:lastRenderedPageBreak/>
        <w:t xml:space="preserve">Regardless of the Q-matrix design, mixture proportion, or hierarchical structure composition, classification accuracy </w:t>
      </w:r>
      <w:r w:rsidR="0029494A">
        <w:rPr>
          <w:rFonts w:cs="Times New Roman"/>
        </w:rPr>
        <w:t>declined</w:t>
      </w:r>
      <w:r w:rsidRPr="00924E62">
        <w:rPr>
          <w:rFonts w:cs="Times New Roman"/>
        </w:rPr>
        <w:t xml:space="preserve"> when ignoring hierarchical structures with greater heterogeneity (by estimation with a restricted hierarchy). This effect was most stark when a minimally restricted hierarchy constituted more than a minor proportion of the overall hierarchical structure. Sepcifically, when using predefined, restricted hierarchical structures (e.g., convergent), classification accuracy was lower with an unstructured hierarchy within the mixture (e.g., convergent vs. unstructured)—especially with equivalent or major proportions—than without it. </w:t>
      </w:r>
    </w:p>
    <w:p w14:paraId="474C58D0" w14:textId="2F63A852" w:rsidR="00205D0A" w:rsidRDefault="00205D0A" w:rsidP="004F4B5A">
      <w:pPr>
        <w:spacing w:line="360" w:lineRule="auto"/>
        <w:ind w:firstLine="708"/>
        <w:jc w:val="both"/>
        <w:rPr>
          <w:rFonts w:cs="Times New Roman"/>
        </w:rPr>
      </w:pPr>
      <w:r w:rsidRPr="00924E62">
        <w:rPr>
          <w:rFonts w:cs="Times New Roman"/>
        </w:rPr>
        <w:t xml:space="preserve">Conversly, </w:t>
      </w:r>
      <w:r w:rsidRPr="00924E62">
        <w:rPr>
          <w:rFonts w:eastAsiaTheme="minorEastAsia" w:cs="Times New Roman"/>
          <w:color w:val="000000" w:themeColor="text1"/>
        </w:rPr>
        <w:t xml:space="preserve">the decline </w:t>
      </w:r>
      <w:r w:rsidRPr="00924E62">
        <w:rPr>
          <w:rFonts w:cs="Times New Roman"/>
        </w:rPr>
        <w:t>in classification accuracy diminished</w:t>
      </w:r>
      <w:r w:rsidRPr="00924E62">
        <w:rPr>
          <w:rFonts w:eastAsiaTheme="minorEastAsia" w:cs="Times New Roman"/>
          <w:color w:val="000000" w:themeColor="text1"/>
        </w:rPr>
        <w:t xml:space="preserve"> when estimating with a </w:t>
      </w:r>
      <w:r w:rsidRPr="00924E62">
        <w:rPr>
          <w:rFonts w:cs="Times New Roman"/>
        </w:rPr>
        <w:t xml:space="preserve">predefined, </w:t>
      </w:r>
      <w:r w:rsidRPr="00924E62">
        <w:rPr>
          <w:rFonts w:eastAsiaTheme="minorEastAsia" w:cs="Times New Roman"/>
          <w:color w:val="000000" w:themeColor="text1"/>
        </w:rPr>
        <w:t xml:space="preserve">minimally restricted </w:t>
      </w:r>
      <w:r w:rsidRPr="00924E62">
        <w:rPr>
          <w:rFonts w:cs="Times New Roman"/>
        </w:rPr>
        <w:t xml:space="preserve">hierarchy (e.g., unstructured). That is, </w:t>
      </w:r>
      <w:bookmarkStart w:id="8" w:name="_Hlk193892671"/>
      <w:r w:rsidRPr="00924E62">
        <w:rPr>
          <w:rFonts w:cs="Times New Roman"/>
        </w:rPr>
        <w:t xml:space="preserve">estimation with a predefined unstructured hierarchical structure, which offers many attribute profiles, mitigated this decline. </w:t>
      </w:r>
      <w:bookmarkEnd w:id="8"/>
      <w:r w:rsidRPr="00924E62">
        <w:rPr>
          <w:rFonts w:cs="Times New Roman"/>
        </w:rPr>
        <w:t>For instance, with</w:t>
      </w:r>
      <w:r w:rsidR="0029494A">
        <w:rPr>
          <w:rFonts w:cs="Times New Roman"/>
        </w:rPr>
        <w:t>i</w:t>
      </w:r>
      <w:r w:rsidRPr="00924E62">
        <w:rPr>
          <w:rFonts w:cs="Times New Roman"/>
        </w:rPr>
        <w:t>n the 10×5 Q-matrix, the classification accuracy rates for three mixed proportions of linear and unstructured hierarchies (i.e., 0.2/0.8, 0.5/0.5, and 0.8/0.2) were: linear (.42, .58, .72), convergent (.47, .58, .73), divergent (.45, .60, .73), and unstructured (.70, .75, .77).</w:t>
      </w:r>
    </w:p>
    <w:p w14:paraId="18C34867" w14:textId="77777777" w:rsidR="003A09B2" w:rsidRDefault="003A09B2" w:rsidP="004F4B5A">
      <w:pPr>
        <w:spacing w:line="360" w:lineRule="auto"/>
        <w:ind w:firstLine="708"/>
        <w:jc w:val="both"/>
        <w:rPr>
          <w:rFonts w:cs="Times New Roman"/>
        </w:rPr>
      </w:pPr>
    </w:p>
    <w:p w14:paraId="288230DC" w14:textId="0BF42E57" w:rsidR="003A09B2" w:rsidRDefault="00B84A56" w:rsidP="004F4B5A">
      <w:pPr>
        <w:snapToGrid w:val="0"/>
        <w:spacing w:after="0"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1A27927" wp14:editId="3A818A8B">
            <wp:extent cx="5943600" cy="33432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_Result_pattern_10by5_v2.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3343275"/>
                    </a:xfrm>
                    <a:prstGeom prst="rect">
                      <a:avLst/>
                    </a:prstGeom>
                    <a:ln>
                      <a:solidFill>
                        <a:schemeClr val="tx1"/>
                      </a:solidFill>
                    </a:ln>
                  </pic:spPr>
                </pic:pic>
              </a:graphicData>
            </a:graphic>
          </wp:inline>
        </w:drawing>
      </w:r>
    </w:p>
    <w:p w14:paraId="259925BD" w14:textId="77777777" w:rsidR="003A09B2" w:rsidRPr="00924E62" w:rsidRDefault="003A09B2" w:rsidP="004F4B5A">
      <w:pPr>
        <w:snapToGrid w:val="0"/>
        <w:spacing w:after="0" w:line="360" w:lineRule="auto"/>
        <w:rPr>
          <w:rFonts w:eastAsia="新細明體" w:cs="Times New Roman"/>
          <w:i/>
          <w:lang w:val="de-DE"/>
        </w:rPr>
      </w:pPr>
      <w:r w:rsidRPr="00924E62">
        <w:rPr>
          <w:rFonts w:eastAsia="新細明體" w:cs="Times New Roman"/>
          <w:b/>
          <w:lang w:val="de-DE"/>
        </w:rPr>
        <w:t xml:space="preserve">Figure 2. </w:t>
      </w:r>
      <w:r w:rsidRPr="00924E62">
        <w:rPr>
          <w:rFonts w:eastAsia="新細明體" w:cs="Times New Roman"/>
          <w:lang w:val="de-DE"/>
        </w:rPr>
        <w:t>Classification Accuracy</w:t>
      </w:r>
      <w:r w:rsidRPr="00924E62">
        <w:rPr>
          <w:rFonts w:cs="Times New Roman"/>
        </w:rPr>
        <w:t xml:space="preserve"> Under 10×5 Q-matrix</w:t>
      </w:r>
    </w:p>
    <w:p w14:paraId="5253406F" w14:textId="3B3D21F8" w:rsidR="00346266" w:rsidRPr="00346266" w:rsidRDefault="003A09B2" w:rsidP="004F4B5A">
      <w:pPr>
        <w:jc w:val="both"/>
        <w:rPr>
          <w:rFonts w:eastAsiaTheme="minorEastAsia" w:cs="Times New Roman"/>
          <w:bCs/>
          <w:color w:val="000000" w:themeColor="text1"/>
        </w:rPr>
      </w:pPr>
      <w:r w:rsidRPr="00924E62">
        <w:rPr>
          <w:rFonts w:eastAsiaTheme="minorEastAsia" w:cs="Times New Roman"/>
          <w:i/>
          <w:color w:val="000000" w:themeColor="text1"/>
        </w:rPr>
        <w:t>Note</w:t>
      </w:r>
      <w:r w:rsidRPr="00924E62">
        <w:rPr>
          <w:rFonts w:eastAsiaTheme="minorEastAsia" w:cs="Times New Roman"/>
          <w:color w:val="000000" w:themeColor="text1"/>
        </w:rPr>
        <w:t xml:space="preserve">. LC = </w:t>
      </w:r>
      <w:r w:rsidR="000C37D4">
        <w:rPr>
          <w:rFonts w:eastAsiaTheme="minorEastAsia" w:cs="Times New Roman"/>
          <w:color w:val="000000" w:themeColor="text1"/>
        </w:rPr>
        <w:t>l</w:t>
      </w:r>
      <w:r w:rsidRPr="00924E62">
        <w:rPr>
          <w:rFonts w:eastAsiaTheme="minorEastAsia" w:cs="Times New Roman"/>
          <w:color w:val="000000" w:themeColor="text1"/>
        </w:rPr>
        <w:t xml:space="preserve">inear and </w:t>
      </w:r>
      <w:r w:rsidR="000C37D4">
        <w:rPr>
          <w:rFonts w:eastAsiaTheme="minorEastAsia" w:cs="Times New Roman"/>
          <w:color w:val="000000" w:themeColor="text1"/>
        </w:rPr>
        <w:t>c</w:t>
      </w:r>
      <w:r w:rsidRPr="00924E62">
        <w:rPr>
          <w:rFonts w:eastAsiaTheme="minorEastAsia" w:cs="Times New Roman"/>
          <w:color w:val="000000" w:themeColor="text1"/>
        </w:rPr>
        <w:t xml:space="preserve">onvergent hierarchies, LD = </w:t>
      </w:r>
      <w:r w:rsidR="00B84A56">
        <w:rPr>
          <w:rFonts w:eastAsiaTheme="minorEastAsia" w:cs="Times New Roman"/>
          <w:color w:val="000000" w:themeColor="text1"/>
        </w:rPr>
        <w:t>l</w:t>
      </w:r>
      <w:r w:rsidRPr="00924E62">
        <w:rPr>
          <w:rFonts w:eastAsiaTheme="minorEastAsia" w:cs="Times New Roman"/>
          <w:color w:val="000000" w:themeColor="text1"/>
        </w:rPr>
        <w:t xml:space="preserve">inear and </w:t>
      </w:r>
      <w:r w:rsidR="00B84A56">
        <w:rPr>
          <w:rFonts w:eastAsiaTheme="minorEastAsia" w:cs="Times New Roman"/>
          <w:color w:val="000000" w:themeColor="text1"/>
        </w:rPr>
        <w:t>d</w:t>
      </w:r>
      <w:r w:rsidRPr="00924E62">
        <w:rPr>
          <w:rFonts w:eastAsiaTheme="minorEastAsia" w:cs="Times New Roman"/>
          <w:color w:val="000000" w:themeColor="text1"/>
        </w:rPr>
        <w:t xml:space="preserve">ivergent hierarchies, LU = </w:t>
      </w:r>
      <w:r w:rsidR="00B84A56">
        <w:rPr>
          <w:rFonts w:eastAsiaTheme="minorEastAsia" w:cs="Times New Roman"/>
          <w:color w:val="000000" w:themeColor="text1"/>
        </w:rPr>
        <w:t>l</w:t>
      </w:r>
      <w:r w:rsidRPr="00924E62">
        <w:rPr>
          <w:rFonts w:eastAsiaTheme="minorEastAsia" w:cs="Times New Roman"/>
          <w:color w:val="000000" w:themeColor="text1"/>
        </w:rPr>
        <w:t xml:space="preserve">inear and </w:t>
      </w:r>
      <w:r w:rsidR="00B84A56">
        <w:rPr>
          <w:rFonts w:eastAsiaTheme="minorEastAsia" w:cs="Times New Roman"/>
          <w:color w:val="000000" w:themeColor="text1"/>
        </w:rPr>
        <w:t>u</w:t>
      </w:r>
      <w:r w:rsidRPr="00924E62">
        <w:rPr>
          <w:rFonts w:eastAsiaTheme="minorEastAsia" w:cs="Times New Roman"/>
          <w:color w:val="000000" w:themeColor="text1"/>
        </w:rPr>
        <w:t xml:space="preserve">nstructured hierarchies, CD = </w:t>
      </w:r>
      <w:r w:rsidR="00B84A56">
        <w:rPr>
          <w:rFonts w:eastAsiaTheme="minorEastAsia" w:cs="Times New Roman"/>
          <w:color w:val="000000" w:themeColor="text1"/>
        </w:rPr>
        <w:t>c</w:t>
      </w:r>
      <w:r w:rsidRPr="00924E62">
        <w:rPr>
          <w:rFonts w:eastAsiaTheme="minorEastAsia" w:cs="Times New Roman"/>
          <w:color w:val="000000" w:themeColor="text1"/>
        </w:rPr>
        <w:t xml:space="preserve">onvergent and </w:t>
      </w:r>
      <w:r w:rsidR="00B84A56">
        <w:rPr>
          <w:rFonts w:eastAsiaTheme="minorEastAsia" w:cs="Times New Roman"/>
          <w:color w:val="000000" w:themeColor="text1"/>
        </w:rPr>
        <w:t>d</w:t>
      </w:r>
      <w:r w:rsidRPr="00924E62">
        <w:rPr>
          <w:rFonts w:eastAsiaTheme="minorEastAsia" w:cs="Times New Roman"/>
          <w:color w:val="000000" w:themeColor="text1"/>
        </w:rPr>
        <w:t xml:space="preserve">ivergent </w:t>
      </w:r>
      <w:r w:rsidRPr="00381ED2">
        <w:rPr>
          <w:rFonts w:eastAsiaTheme="minorEastAsia" w:cs="Times New Roman"/>
          <w:color w:val="000000" w:themeColor="text1"/>
        </w:rPr>
        <w:t xml:space="preserve">hierarchies, CU = </w:t>
      </w:r>
      <w:r w:rsidR="00B84A56" w:rsidRPr="00381ED2">
        <w:rPr>
          <w:rFonts w:eastAsiaTheme="minorEastAsia" w:cs="Times New Roman"/>
          <w:color w:val="000000" w:themeColor="text1"/>
        </w:rPr>
        <w:t>c</w:t>
      </w:r>
      <w:r w:rsidRPr="00381ED2">
        <w:rPr>
          <w:rFonts w:eastAsiaTheme="minorEastAsia" w:cs="Times New Roman"/>
          <w:color w:val="000000" w:themeColor="text1"/>
        </w:rPr>
        <w:t xml:space="preserve">onvergent and </w:t>
      </w:r>
      <w:r w:rsidR="00B84A56" w:rsidRPr="00381ED2">
        <w:rPr>
          <w:rFonts w:eastAsiaTheme="minorEastAsia" w:cs="Times New Roman"/>
          <w:color w:val="000000" w:themeColor="text1"/>
        </w:rPr>
        <w:t>u</w:t>
      </w:r>
      <w:r w:rsidRPr="00381ED2">
        <w:rPr>
          <w:rFonts w:eastAsiaTheme="minorEastAsia" w:cs="Times New Roman"/>
          <w:color w:val="000000" w:themeColor="text1"/>
        </w:rPr>
        <w:t xml:space="preserve">nstructured hierarchies, DU = </w:t>
      </w:r>
      <w:r w:rsidR="00B84A56" w:rsidRPr="00381ED2">
        <w:rPr>
          <w:rFonts w:eastAsiaTheme="minorEastAsia" w:cs="Times New Roman"/>
          <w:color w:val="000000" w:themeColor="text1"/>
        </w:rPr>
        <w:t>d</w:t>
      </w:r>
      <w:r w:rsidRPr="00381ED2">
        <w:rPr>
          <w:rFonts w:eastAsiaTheme="minorEastAsia" w:cs="Times New Roman"/>
          <w:color w:val="000000" w:themeColor="text1"/>
        </w:rPr>
        <w:t xml:space="preserve">ivergent and </w:t>
      </w:r>
      <w:r w:rsidR="00B84A56" w:rsidRPr="00381ED2">
        <w:rPr>
          <w:rFonts w:eastAsiaTheme="minorEastAsia" w:cs="Times New Roman"/>
          <w:color w:val="000000" w:themeColor="text1"/>
        </w:rPr>
        <w:t>u</w:t>
      </w:r>
      <w:r w:rsidRPr="00381ED2">
        <w:rPr>
          <w:rFonts w:eastAsiaTheme="minorEastAsia" w:cs="Times New Roman"/>
          <w:color w:val="000000" w:themeColor="text1"/>
        </w:rPr>
        <w:t>nstructured hierarchies</w:t>
      </w:r>
      <w:r w:rsidR="00ED545A" w:rsidRPr="00381ED2">
        <w:rPr>
          <w:rFonts w:eastAsiaTheme="minorEastAsia" w:cs="Times New Roman"/>
          <w:color w:val="000000" w:themeColor="text1"/>
        </w:rPr>
        <w:t xml:space="preserve">, </w:t>
      </w:r>
      <w:r w:rsidR="00ED545A" w:rsidRPr="004F4B5A">
        <w:rPr>
          <w:rFonts w:eastAsiaTheme="minorEastAsia" w:cs="Times New Roman"/>
          <w:color w:val="000000" w:themeColor="text1"/>
        </w:rPr>
        <w:t xml:space="preserve">and </w:t>
      </w:r>
      <w:r w:rsidR="006F7BE4" w:rsidRPr="004F4B5A">
        <w:rPr>
          <w:rFonts w:eastAsiaTheme="minorEastAsia" w:cs="Times New Roman"/>
          <w:color w:val="000000" w:themeColor="text1"/>
        </w:rPr>
        <w:t xml:space="preserve">Generated </w:t>
      </w:r>
      <w:r w:rsidR="00346266" w:rsidRPr="004F4B5A">
        <w:rPr>
          <w:rStyle w:val="Strong"/>
          <w:b w:val="0"/>
        </w:rPr>
        <w:t>Mixed Proportion</w:t>
      </w:r>
      <w:r w:rsidR="00346266" w:rsidRPr="004F4B5A">
        <w:rPr>
          <w:b/>
        </w:rPr>
        <w:t xml:space="preserve"> </w:t>
      </w:r>
      <w:r w:rsidR="00346266" w:rsidRPr="004F4B5A">
        <w:t xml:space="preserve">= proportions </w:t>
      </w:r>
      <w:r w:rsidR="00346266" w:rsidRPr="004F4B5A">
        <w:lastRenderedPageBreak/>
        <w:t xml:space="preserve">generated from two hierarchical structures (e.g., </w:t>
      </w:r>
      <w:r w:rsidR="006F7BE4" w:rsidRPr="004F4B5A">
        <w:t>Generated</w:t>
      </w:r>
      <w:r w:rsidR="00346266" w:rsidRPr="004F4B5A">
        <w:t xml:space="preserve"> Mixed Proportion</w:t>
      </w:r>
      <w:r w:rsidR="00346266" w:rsidRPr="004F4B5A">
        <w:rPr>
          <w:rStyle w:val="Strong"/>
        </w:rPr>
        <w:t xml:space="preserve">: </w:t>
      </w:r>
      <w:r w:rsidR="00346266" w:rsidRPr="004F4B5A">
        <w:rPr>
          <w:rStyle w:val="Strong"/>
          <w:b w:val="0"/>
        </w:rPr>
        <w:t>0.2/0.8</w:t>
      </w:r>
      <w:r w:rsidR="00346266" w:rsidRPr="004F4B5A">
        <w:t xml:space="preserve"> with </w:t>
      </w:r>
      <w:r w:rsidR="00346266" w:rsidRPr="004F4B5A">
        <w:rPr>
          <w:rStyle w:val="Strong"/>
          <w:b w:val="0"/>
        </w:rPr>
        <w:t>LC,</w:t>
      </w:r>
      <w:r w:rsidR="006F7BE4" w:rsidRPr="004F4B5A">
        <w:rPr>
          <w:rStyle w:val="Strong"/>
          <w:b w:val="0"/>
        </w:rPr>
        <w:t xml:space="preserve"> indicating</w:t>
      </w:r>
      <w:r w:rsidR="00346266" w:rsidRPr="004F4B5A">
        <w:rPr>
          <w:b/>
        </w:rPr>
        <w:t xml:space="preserve"> </w:t>
      </w:r>
      <w:r w:rsidR="006F7BE4" w:rsidRPr="004F4B5A">
        <w:t xml:space="preserve">that </w:t>
      </w:r>
      <w:r w:rsidR="00346266" w:rsidRPr="004F4B5A">
        <w:t xml:space="preserve">examinees' attribute structures were generated </w:t>
      </w:r>
      <w:r w:rsidR="00346266" w:rsidRPr="004F4B5A">
        <w:rPr>
          <w:rStyle w:val="Strong"/>
          <w:b w:val="0"/>
        </w:rPr>
        <w:t>20% from the linear hierarchy</w:t>
      </w:r>
      <w:r w:rsidR="00346266" w:rsidRPr="004F4B5A">
        <w:t xml:space="preserve"> and </w:t>
      </w:r>
      <w:r w:rsidR="00346266" w:rsidRPr="004F4B5A">
        <w:rPr>
          <w:rStyle w:val="Strong"/>
          <w:b w:val="0"/>
        </w:rPr>
        <w:t>80%</w:t>
      </w:r>
      <w:r w:rsidR="00346266" w:rsidRPr="004F4B5A">
        <w:rPr>
          <w:rStyle w:val="Strong"/>
        </w:rPr>
        <w:t xml:space="preserve"> </w:t>
      </w:r>
      <w:r w:rsidR="00346266" w:rsidRPr="004F4B5A">
        <w:rPr>
          <w:rStyle w:val="Strong"/>
          <w:b w:val="0"/>
        </w:rPr>
        <w:t>from the divergent hierarchy</w:t>
      </w:r>
      <w:r w:rsidR="00346266" w:rsidRPr="004F4B5A">
        <w:rPr>
          <w:b/>
        </w:rPr>
        <w:t>.</w:t>
      </w:r>
    </w:p>
    <w:p w14:paraId="6121F7AC" w14:textId="77777777" w:rsidR="00ED545A" w:rsidRDefault="00ED545A" w:rsidP="004F4B5A">
      <w:pPr>
        <w:jc w:val="both"/>
        <w:rPr>
          <w:rFonts w:eastAsiaTheme="minorEastAsia" w:cs="Times New Roman"/>
          <w:color w:val="000000" w:themeColor="text1"/>
        </w:rPr>
      </w:pPr>
    </w:p>
    <w:p w14:paraId="53C7B0A6" w14:textId="164BF228" w:rsidR="003A09B2" w:rsidRDefault="00B84A56" w:rsidP="004F4B5A">
      <w:pPr>
        <w:snapToGrid w:val="0"/>
        <w:spacing w:after="0"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A9593FD" wp14:editId="179237D7">
            <wp:extent cx="5943600" cy="33432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Result_pattern_20by5_v2.jpg"/>
                    <pic:cNvPicPr/>
                  </pic:nvPicPr>
                  <pic:blipFill>
                    <a:blip r:embed="rId11">
                      <a:extLst>
                        <a:ext uri="{28A0092B-C50C-407E-A947-70E740481C1C}">
                          <a14:useLocalDpi xmlns:a14="http://schemas.microsoft.com/office/drawing/2010/main" val="0"/>
                        </a:ext>
                      </a:extLst>
                    </a:blip>
                    <a:stretch>
                      <a:fillRect/>
                    </a:stretch>
                  </pic:blipFill>
                  <pic:spPr>
                    <a:xfrm>
                      <a:off x="0" y="0"/>
                      <a:ext cx="5943600" cy="3343275"/>
                    </a:xfrm>
                    <a:prstGeom prst="rect">
                      <a:avLst/>
                    </a:prstGeom>
                    <a:ln>
                      <a:solidFill>
                        <a:schemeClr val="tx1"/>
                      </a:solidFill>
                    </a:ln>
                  </pic:spPr>
                </pic:pic>
              </a:graphicData>
            </a:graphic>
          </wp:inline>
        </w:drawing>
      </w:r>
    </w:p>
    <w:p w14:paraId="2ED0AFC4" w14:textId="77777777" w:rsidR="003A09B2" w:rsidRPr="00924E62" w:rsidRDefault="003A09B2" w:rsidP="004F4B5A">
      <w:pPr>
        <w:snapToGrid w:val="0"/>
        <w:spacing w:after="0" w:line="360" w:lineRule="auto"/>
        <w:rPr>
          <w:rFonts w:eastAsia="新細明體" w:cs="Times New Roman"/>
          <w:lang w:val="de-DE"/>
        </w:rPr>
      </w:pPr>
      <w:r w:rsidRPr="00924E62">
        <w:rPr>
          <w:rFonts w:eastAsia="新細明體" w:cs="Times New Roman"/>
          <w:b/>
          <w:lang w:val="de-DE"/>
        </w:rPr>
        <w:t xml:space="preserve">Figure </w:t>
      </w:r>
      <w:r w:rsidRPr="00924E62">
        <w:rPr>
          <w:rFonts w:cs="Times New Roman"/>
          <w:b/>
        </w:rPr>
        <w:t xml:space="preserve">3. </w:t>
      </w:r>
      <w:r w:rsidRPr="00924E62">
        <w:rPr>
          <w:rFonts w:eastAsia="新細明體" w:cs="Times New Roman"/>
          <w:lang w:val="de-DE"/>
        </w:rPr>
        <w:t>Classification Accuracy</w:t>
      </w:r>
      <w:r w:rsidRPr="00924E62">
        <w:rPr>
          <w:rFonts w:cs="Times New Roman"/>
        </w:rPr>
        <w:t xml:space="preserve"> Under 20×5 Q-matrix</w:t>
      </w:r>
    </w:p>
    <w:p w14:paraId="16F3B56B" w14:textId="706191B3" w:rsidR="003A09B2" w:rsidRPr="004F4B5A" w:rsidRDefault="003A09B2" w:rsidP="004F4B5A">
      <w:pPr>
        <w:snapToGrid w:val="0"/>
        <w:spacing w:after="0" w:line="360" w:lineRule="auto"/>
        <w:jc w:val="both"/>
        <w:rPr>
          <w:rFonts w:eastAsia="新細明體" w:cs="Times New Roman"/>
          <w:lang w:val="de-DE"/>
        </w:rPr>
      </w:pPr>
      <w:r w:rsidRPr="00924E62">
        <w:rPr>
          <w:rFonts w:eastAsiaTheme="minorEastAsia" w:cs="Times New Roman"/>
          <w:i/>
          <w:color w:val="000000" w:themeColor="text1"/>
        </w:rPr>
        <w:t>Note</w:t>
      </w:r>
      <w:r w:rsidRPr="00924E62">
        <w:rPr>
          <w:rFonts w:eastAsiaTheme="minorEastAsia" w:cs="Times New Roman"/>
          <w:color w:val="000000" w:themeColor="text1"/>
        </w:rPr>
        <w:t xml:space="preserve">. </w:t>
      </w:r>
      <w:r w:rsidR="006F7BE4" w:rsidRPr="00924E62">
        <w:rPr>
          <w:rFonts w:eastAsiaTheme="minorEastAsia" w:cs="Times New Roman"/>
          <w:color w:val="000000" w:themeColor="text1"/>
        </w:rPr>
        <w:t xml:space="preserve">LC = </w:t>
      </w:r>
      <w:r w:rsidR="006F7BE4">
        <w:rPr>
          <w:rFonts w:eastAsiaTheme="minorEastAsia" w:cs="Times New Roman"/>
          <w:color w:val="000000" w:themeColor="text1"/>
        </w:rPr>
        <w:t>l</w:t>
      </w:r>
      <w:r w:rsidR="006F7BE4" w:rsidRPr="00924E62">
        <w:rPr>
          <w:rFonts w:eastAsiaTheme="minorEastAsia" w:cs="Times New Roman"/>
          <w:color w:val="000000" w:themeColor="text1"/>
        </w:rPr>
        <w:t xml:space="preserve">inear and </w:t>
      </w:r>
      <w:r w:rsidR="006F7BE4">
        <w:rPr>
          <w:rFonts w:eastAsiaTheme="minorEastAsia" w:cs="Times New Roman"/>
          <w:color w:val="000000" w:themeColor="text1"/>
        </w:rPr>
        <w:t>c</w:t>
      </w:r>
      <w:r w:rsidR="006F7BE4" w:rsidRPr="00924E62">
        <w:rPr>
          <w:rFonts w:eastAsiaTheme="minorEastAsia" w:cs="Times New Roman"/>
          <w:color w:val="000000" w:themeColor="text1"/>
        </w:rPr>
        <w:t xml:space="preserve">onvergent hierarchies, LD = </w:t>
      </w:r>
      <w:r w:rsidR="006F7BE4">
        <w:rPr>
          <w:rFonts w:eastAsiaTheme="minorEastAsia" w:cs="Times New Roman"/>
          <w:color w:val="000000" w:themeColor="text1"/>
        </w:rPr>
        <w:t>l</w:t>
      </w:r>
      <w:r w:rsidR="006F7BE4" w:rsidRPr="00924E62">
        <w:rPr>
          <w:rFonts w:eastAsiaTheme="minorEastAsia" w:cs="Times New Roman"/>
          <w:color w:val="000000" w:themeColor="text1"/>
        </w:rPr>
        <w:t xml:space="preserve">inear and </w:t>
      </w:r>
      <w:r w:rsidR="006F7BE4">
        <w:rPr>
          <w:rFonts w:eastAsiaTheme="minorEastAsia" w:cs="Times New Roman"/>
          <w:color w:val="000000" w:themeColor="text1"/>
        </w:rPr>
        <w:t>d</w:t>
      </w:r>
      <w:r w:rsidR="006F7BE4" w:rsidRPr="00924E62">
        <w:rPr>
          <w:rFonts w:eastAsiaTheme="minorEastAsia" w:cs="Times New Roman"/>
          <w:color w:val="000000" w:themeColor="text1"/>
        </w:rPr>
        <w:t xml:space="preserve">ivergent hierarchies, LU = </w:t>
      </w:r>
      <w:r w:rsidR="006F7BE4">
        <w:rPr>
          <w:rFonts w:eastAsiaTheme="minorEastAsia" w:cs="Times New Roman"/>
          <w:color w:val="000000" w:themeColor="text1"/>
        </w:rPr>
        <w:t>l</w:t>
      </w:r>
      <w:r w:rsidR="006F7BE4" w:rsidRPr="00924E62">
        <w:rPr>
          <w:rFonts w:eastAsiaTheme="minorEastAsia" w:cs="Times New Roman"/>
          <w:color w:val="000000" w:themeColor="text1"/>
        </w:rPr>
        <w:t xml:space="preserve">inear and </w:t>
      </w:r>
      <w:r w:rsidR="006F7BE4">
        <w:rPr>
          <w:rFonts w:eastAsiaTheme="minorEastAsia" w:cs="Times New Roman"/>
          <w:color w:val="000000" w:themeColor="text1"/>
        </w:rPr>
        <w:t>u</w:t>
      </w:r>
      <w:r w:rsidR="006F7BE4" w:rsidRPr="00924E62">
        <w:rPr>
          <w:rFonts w:eastAsiaTheme="minorEastAsia" w:cs="Times New Roman"/>
          <w:color w:val="000000" w:themeColor="text1"/>
        </w:rPr>
        <w:t xml:space="preserve">nstructured hierarchies, CD = </w:t>
      </w:r>
      <w:r w:rsidR="006F7BE4">
        <w:rPr>
          <w:rFonts w:eastAsiaTheme="minorEastAsia" w:cs="Times New Roman"/>
          <w:color w:val="000000" w:themeColor="text1"/>
        </w:rPr>
        <w:t>c</w:t>
      </w:r>
      <w:r w:rsidR="006F7BE4" w:rsidRPr="00924E62">
        <w:rPr>
          <w:rFonts w:eastAsiaTheme="minorEastAsia" w:cs="Times New Roman"/>
          <w:color w:val="000000" w:themeColor="text1"/>
        </w:rPr>
        <w:t xml:space="preserve">onvergent and </w:t>
      </w:r>
      <w:r w:rsidR="006F7BE4">
        <w:rPr>
          <w:rFonts w:eastAsiaTheme="minorEastAsia" w:cs="Times New Roman"/>
          <w:color w:val="000000" w:themeColor="text1"/>
        </w:rPr>
        <w:t>d</w:t>
      </w:r>
      <w:r w:rsidR="006F7BE4" w:rsidRPr="00924E62">
        <w:rPr>
          <w:rFonts w:eastAsiaTheme="minorEastAsia" w:cs="Times New Roman"/>
          <w:color w:val="000000" w:themeColor="text1"/>
        </w:rPr>
        <w:t xml:space="preserve">ivergent hierarchies, CU = </w:t>
      </w:r>
      <w:r w:rsidR="006F7BE4">
        <w:rPr>
          <w:rFonts w:eastAsiaTheme="minorEastAsia" w:cs="Times New Roman"/>
          <w:color w:val="000000" w:themeColor="text1"/>
        </w:rPr>
        <w:t>c</w:t>
      </w:r>
      <w:r w:rsidR="006F7BE4" w:rsidRPr="00924E62">
        <w:rPr>
          <w:rFonts w:eastAsiaTheme="minorEastAsia" w:cs="Times New Roman"/>
          <w:color w:val="000000" w:themeColor="text1"/>
        </w:rPr>
        <w:t xml:space="preserve">onvergent and </w:t>
      </w:r>
      <w:r w:rsidR="006F7BE4">
        <w:rPr>
          <w:rFonts w:eastAsiaTheme="minorEastAsia" w:cs="Times New Roman"/>
          <w:color w:val="000000" w:themeColor="text1"/>
        </w:rPr>
        <w:t>u</w:t>
      </w:r>
      <w:r w:rsidR="006F7BE4" w:rsidRPr="00924E62">
        <w:rPr>
          <w:rFonts w:eastAsiaTheme="minorEastAsia" w:cs="Times New Roman"/>
          <w:color w:val="000000" w:themeColor="text1"/>
        </w:rPr>
        <w:t xml:space="preserve">nstructured hierarchies, DU = </w:t>
      </w:r>
      <w:r w:rsidR="006F7BE4">
        <w:rPr>
          <w:rFonts w:eastAsiaTheme="minorEastAsia" w:cs="Times New Roman"/>
          <w:color w:val="000000" w:themeColor="text1"/>
        </w:rPr>
        <w:t>d</w:t>
      </w:r>
      <w:r w:rsidR="006F7BE4" w:rsidRPr="00924E62">
        <w:rPr>
          <w:rFonts w:eastAsiaTheme="minorEastAsia" w:cs="Times New Roman"/>
          <w:color w:val="000000" w:themeColor="text1"/>
        </w:rPr>
        <w:t xml:space="preserve">ivergent and </w:t>
      </w:r>
      <w:r w:rsidR="006F7BE4">
        <w:rPr>
          <w:rFonts w:eastAsiaTheme="minorEastAsia" w:cs="Times New Roman"/>
          <w:color w:val="000000" w:themeColor="text1"/>
        </w:rPr>
        <w:t>u</w:t>
      </w:r>
      <w:r w:rsidR="006F7BE4" w:rsidRPr="00924E62">
        <w:rPr>
          <w:rFonts w:eastAsiaTheme="minorEastAsia" w:cs="Times New Roman"/>
          <w:color w:val="000000" w:themeColor="text1"/>
        </w:rPr>
        <w:t>nstructured hierarchies</w:t>
      </w:r>
      <w:r w:rsidR="006F7BE4" w:rsidRPr="00346266">
        <w:rPr>
          <w:rFonts w:eastAsiaTheme="minorEastAsia" w:cs="Times New Roman"/>
          <w:color w:val="000000" w:themeColor="text1"/>
        </w:rPr>
        <w:t xml:space="preserve">, </w:t>
      </w:r>
      <w:r w:rsidR="006F7BE4" w:rsidRPr="004F4B5A">
        <w:rPr>
          <w:rFonts w:eastAsiaTheme="minorEastAsia" w:cs="Times New Roman"/>
          <w:color w:val="000000" w:themeColor="text1"/>
        </w:rPr>
        <w:t xml:space="preserve">and </w:t>
      </w:r>
      <w:r w:rsidR="006F7BE4" w:rsidRPr="004F4B5A">
        <w:rPr>
          <w:rFonts w:eastAsiaTheme="minorEastAsia" w:cs="Times New Roman"/>
        </w:rPr>
        <w:t xml:space="preserve">Generated </w:t>
      </w:r>
      <w:r w:rsidR="006F7BE4" w:rsidRPr="004F4B5A">
        <w:rPr>
          <w:rStyle w:val="Strong"/>
          <w:b w:val="0"/>
        </w:rPr>
        <w:t>Mixed Proportion</w:t>
      </w:r>
      <w:r w:rsidR="006F7BE4" w:rsidRPr="004F4B5A">
        <w:rPr>
          <w:b/>
        </w:rPr>
        <w:t xml:space="preserve"> </w:t>
      </w:r>
      <w:r w:rsidR="006F7BE4" w:rsidRPr="004F4B5A">
        <w:t>= proportions generated from two hierarchical structures (e.g., Generated Mixed Proportion</w:t>
      </w:r>
      <w:r w:rsidR="006F7BE4" w:rsidRPr="004F4B5A">
        <w:rPr>
          <w:rStyle w:val="Strong"/>
        </w:rPr>
        <w:t xml:space="preserve">: </w:t>
      </w:r>
      <w:r w:rsidR="006F7BE4" w:rsidRPr="004F4B5A">
        <w:rPr>
          <w:rStyle w:val="Strong"/>
          <w:b w:val="0"/>
        </w:rPr>
        <w:t>0.2/0.8</w:t>
      </w:r>
      <w:r w:rsidR="006F7BE4" w:rsidRPr="004F4B5A">
        <w:t xml:space="preserve"> with </w:t>
      </w:r>
      <w:r w:rsidR="006F7BE4" w:rsidRPr="004F4B5A">
        <w:rPr>
          <w:rStyle w:val="Strong"/>
          <w:b w:val="0"/>
        </w:rPr>
        <w:t>LC, indicating</w:t>
      </w:r>
      <w:r w:rsidR="006F7BE4" w:rsidRPr="004F4B5A">
        <w:rPr>
          <w:b/>
        </w:rPr>
        <w:t xml:space="preserve"> </w:t>
      </w:r>
      <w:r w:rsidR="006F7BE4" w:rsidRPr="004F4B5A">
        <w:t xml:space="preserve">that examinees' attribute structures were generated </w:t>
      </w:r>
      <w:r w:rsidR="006F7BE4" w:rsidRPr="004F4B5A">
        <w:rPr>
          <w:rStyle w:val="Strong"/>
          <w:b w:val="0"/>
        </w:rPr>
        <w:t>20% from the linear hierarchy</w:t>
      </w:r>
      <w:r w:rsidR="006F7BE4" w:rsidRPr="004F4B5A">
        <w:t xml:space="preserve"> and </w:t>
      </w:r>
      <w:r w:rsidR="006F7BE4" w:rsidRPr="004F4B5A">
        <w:rPr>
          <w:rStyle w:val="Strong"/>
          <w:b w:val="0"/>
        </w:rPr>
        <w:t>80%</w:t>
      </w:r>
      <w:r w:rsidR="006F7BE4" w:rsidRPr="004F4B5A">
        <w:rPr>
          <w:rStyle w:val="Strong"/>
        </w:rPr>
        <w:t xml:space="preserve"> </w:t>
      </w:r>
      <w:r w:rsidR="006F7BE4" w:rsidRPr="004F4B5A">
        <w:rPr>
          <w:rStyle w:val="Strong"/>
          <w:b w:val="0"/>
        </w:rPr>
        <w:t>from the divergent hierarchy</w:t>
      </w:r>
      <w:r w:rsidR="006F7BE4" w:rsidRPr="004F4B5A">
        <w:rPr>
          <w:b/>
        </w:rPr>
        <w:t>.</w:t>
      </w:r>
    </w:p>
    <w:bookmarkEnd w:id="7"/>
    <w:p w14:paraId="140A8434" w14:textId="06930FF2" w:rsidR="00205D0A" w:rsidRPr="00924E62" w:rsidRDefault="00205D0A" w:rsidP="004F4B5A">
      <w:pPr>
        <w:jc w:val="both"/>
        <w:rPr>
          <w:rFonts w:eastAsiaTheme="minorEastAsia" w:cs="Times New Roman"/>
          <w:b/>
          <w:color w:val="000000" w:themeColor="text1"/>
          <w:sz w:val="24"/>
          <w:szCs w:val="24"/>
        </w:rPr>
      </w:pPr>
      <w:r w:rsidRPr="004F4B5A">
        <w:rPr>
          <w:rFonts w:ascii="Calibri" w:eastAsiaTheme="minorEastAsia" w:hAnsi="Calibri" w:cs="Calibri"/>
          <w:b/>
          <w:sz w:val="24"/>
          <w:szCs w:val="32"/>
        </w:rPr>
        <w:t>6.</w:t>
      </w:r>
      <w:r w:rsidRPr="004F4B5A">
        <w:rPr>
          <w:rFonts w:ascii="Calibri" w:eastAsiaTheme="minorEastAsia" w:hAnsi="Calibri" w:cs="Calibri"/>
          <w:b/>
          <w:sz w:val="24"/>
          <w:szCs w:val="32"/>
        </w:rPr>
        <w:tab/>
      </w:r>
      <w:r w:rsidRPr="004F4B5A">
        <w:rPr>
          <w:rFonts w:eastAsiaTheme="minorEastAsia" w:cs="Times New Roman"/>
          <w:b/>
          <w:color w:val="000000" w:themeColor="text1"/>
          <w:sz w:val="24"/>
          <w:szCs w:val="24"/>
        </w:rPr>
        <w:t>Conclusion</w:t>
      </w:r>
    </w:p>
    <w:p w14:paraId="675EA3FD" w14:textId="674C6473" w:rsidR="00205D0A" w:rsidRPr="00924E62" w:rsidRDefault="00205D0A" w:rsidP="004F4B5A">
      <w:pPr>
        <w:spacing w:line="360" w:lineRule="auto"/>
        <w:jc w:val="both"/>
        <w:rPr>
          <w:rFonts w:cs="Times New Roman"/>
        </w:rPr>
      </w:pPr>
      <w:bookmarkStart w:id="9" w:name="_Hlk193228295"/>
      <w:r w:rsidRPr="00924E62">
        <w:rPr>
          <w:rFonts w:cs="Times New Roman"/>
        </w:rPr>
        <w:t>This study examine</w:t>
      </w:r>
      <w:r w:rsidR="00FE3A38">
        <w:rPr>
          <w:rFonts w:cs="Times New Roman"/>
        </w:rPr>
        <w:t>d</w:t>
      </w:r>
      <w:r w:rsidRPr="00924E62">
        <w:rPr>
          <w:rFonts w:cs="Times New Roman"/>
        </w:rPr>
        <w:t xml:space="preserve"> how ignoring heterogeneity within a hierarchical structure affect</w:t>
      </w:r>
      <w:r w:rsidR="00FE3A38">
        <w:rPr>
          <w:rFonts w:cs="Times New Roman"/>
        </w:rPr>
        <w:t>ed</w:t>
      </w:r>
      <w:r w:rsidRPr="00924E62">
        <w:rPr>
          <w:rFonts w:cs="Times New Roman"/>
        </w:rPr>
        <w:t xml:space="preserve"> classification accuracy in CDM. Simulation studies of various degrees of heterogeneity within hierarchical structures showed that they affect classification accuracy. Neglect of greater heterogeneity reduce</w:t>
      </w:r>
      <w:r w:rsidR="00FE3A38">
        <w:rPr>
          <w:rFonts w:cs="Times New Roman"/>
        </w:rPr>
        <w:t>d</w:t>
      </w:r>
      <w:r w:rsidRPr="00924E62">
        <w:rPr>
          <w:rFonts w:cs="Times New Roman"/>
        </w:rPr>
        <w:t xml:space="preserve"> accuracy. This decline was especially severe when less restrict</w:t>
      </w:r>
      <w:r w:rsidR="0029494A">
        <w:rPr>
          <w:rFonts w:cs="Times New Roman"/>
        </w:rPr>
        <w:t>ive</w:t>
      </w:r>
      <w:r w:rsidRPr="00924E62">
        <w:rPr>
          <w:rFonts w:cs="Times New Roman"/>
        </w:rPr>
        <w:t xml:space="preserve"> hierarchies comprised substantial proportions of the structure and/or when unstructured hierarchies accompanied restricted ones. Conversely, using predefined, less restricted hierarchies (e.g., unstructured hieararchies) mitigated the decline. The underlying reason may stem from the limited number of attribute profiles available for estimating </w:t>
      </w:r>
      <w:r w:rsidRPr="00924E62">
        <w:rPr>
          <w:rFonts w:cs="Times New Roman"/>
        </w:rPr>
        <w:lastRenderedPageBreak/>
        <w:t xml:space="preserve">individuals' mastery statuses. Specifically, restricted hierarchies offer fewer attribute profiles, thereby constraining the recovery capacity in addressing greater heterogeneity. In contrast, less restricted hierarchies provide a wider range of attribute profiles, enhancing the ability to accommodate heterogeneity and improving recovery potential. </w:t>
      </w:r>
    </w:p>
    <w:p w14:paraId="34C6143A" w14:textId="77777777" w:rsidR="00205D0A" w:rsidRPr="00924E62" w:rsidRDefault="00205D0A" w:rsidP="004F4B5A">
      <w:pPr>
        <w:spacing w:line="360" w:lineRule="auto"/>
        <w:ind w:firstLine="708"/>
        <w:jc w:val="both"/>
        <w:rPr>
          <w:rFonts w:cs="Times New Roman"/>
        </w:rPr>
      </w:pPr>
      <w:r w:rsidRPr="00924E62">
        <w:rPr>
          <w:rFonts w:cs="Times New Roman"/>
        </w:rPr>
        <w:t>These findings underscore how addressing heterogeneity and aligning structure boosts classification accuracy. Moreover, heterogeneity is inherently complex and unpredictable. Advanced skills (e.g., higher-order cognitive abilities) are typically more intricate than basic ones (e.g., lower-order abilities). Consequently, adopting a minimally restricted hierarchy, such as an unstructured hierarchy, might be optimal. One practical suggestion is to first identify one or two fundamental prerequisite skills, and then employ an unstructured hierarchy to organize the hierarchical framework. For instance, in learning arithmetic operations, addition serves as the foundation skill for the other three operations, suggesting mastery of addition enables mastery of any of the subsequent attributes (subtraction, multiplication, or division). Furthermore, determining the optimal number of basic skills to be identified when using a minimally restricted hierarchy to enhance classification efficiency represents an important avenue for future investigation.</w:t>
      </w:r>
    </w:p>
    <w:p w14:paraId="5E8B1E42" w14:textId="1A14B3A1" w:rsidR="003A09B2" w:rsidRPr="003A09B2" w:rsidRDefault="00205D0A" w:rsidP="004F4B5A">
      <w:pPr>
        <w:spacing w:line="360" w:lineRule="auto"/>
        <w:ind w:firstLine="708"/>
        <w:jc w:val="both"/>
        <w:rPr>
          <w:rFonts w:cs="Times New Roman"/>
        </w:rPr>
      </w:pPr>
      <w:r w:rsidRPr="00924E62">
        <w:rPr>
          <w:rFonts w:cs="Times New Roman"/>
        </w:rPr>
        <w:t xml:space="preserve">This study’s limitations include the restricted scope of manipulations and the lack of real-world data. Specifically, only limited factors and levels were considered in the simulation studies. Hence, future studies can explore a broader range of factors or levels (e.g., more CDMs, Q-matrix structures, attributes, or complexity in the combinations of heterogeneity). </w:t>
      </w:r>
      <w:bookmarkEnd w:id="9"/>
      <w:r w:rsidRPr="00924E62">
        <w:rPr>
          <w:rFonts w:cs="Times New Roman"/>
        </w:rPr>
        <w:t xml:space="preserve">This would give a better picture of the effects and make the findings more useful. </w:t>
      </w:r>
    </w:p>
    <w:p w14:paraId="35251F03" w14:textId="3541340B" w:rsidR="00205D0A" w:rsidRPr="00924E62" w:rsidRDefault="00205D0A" w:rsidP="004F4B5A">
      <w:pPr>
        <w:rPr>
          <w:rFonts w:ascii="Calibri" w:eastAsiaTheme="minorEastAsia" w:hAnsi="Calibri" w:cs="Calibri"/>
          <w:b/>
          <w:color w:val="000000" w:themeColor="text1"/>
          <w:sz w:val="24"/>
          <w:szCs w:val="24"/>
        </w:rPr>
      </w:pPr>
      <w:r w:rsidRPr="00924E62">
        <w:rPr>
          <w:rFonts w:ascii="Calibri" w:eastAsiaTheme="minorEastAsia" w:hAnsi="Calibri" w:cs="Calibri"/>
          <w:b/>
          <w:color w:val="000000" w:themeColor="text1"/>
          <w:sz w:val="24"/>
          <w:szCs w:val="24"/>
        </w:rPr>
        <w:t>References</w:t>
      </w:r>
    </w:p>
    <w:p w14:paraId="02650F44" w14:textId="77777777" w:rsidR="0072084B" w:rsidRPr="0072084B" w:rsidRDefault="0072084B" w:rsidP="004F4B5A">
      <w:pPr>
        <w:spacing w:line="360" w:lineRule="auto"/>
        <w:ind w:left="706" w:hanging="706"/>
        <w:rPr>
          <w:rFonts w:eastAsiaTheme="minorEastAsia" w:cs="Times New Roman"/>
          <w:bCs/>
          <w:color w:val="000000" w:themeColor="text1"/>
        </w:rPr>
      </w:pPr>
      <w:r w:rsidRPr="0072084B">
        <w:rPr>
          <w:rFonts w:eastAsiaTheme="minorEastAsia" w:cs="Times New Roman"/>
          <w:bCs/>
          <w:color w:val="000000" w:themeColor="text1"/>
        </w:rPr>
        <w:t xml:space="preserve">Crowley, M. L. (1987). The van </w:t>
      </w:r>
      <w:proofErr w:type="spellStart"/>
      <w:r w:rsidRPr="0072084B">
        <w:rPr>
          <w:rFonts w:eastAsiaTheme="minorEastAsia" w:cs="Times New Roman"/>
          <w:bCs/>
          <w:color w:val="000000" w:themeColor="text1"/>
        </w:rPr>
        <w:t>Hiele</w:t>
      </w:r>
      <w:proofErr w:type="spellEnd"/>
      <w:r w:rsidRPr="0072084B">
        <w:rPr>
          <w:rFonts w:eastAsiaTheme="minorEastAsia" w:cs="Times New Roman"/>
          <w:bCs/>
          <w:color w:val="000000" w:themeColor="text1"/>
        </w:rPr>
        <w:t xml:space="preserve"> model of the development of geometric thought. </w:t>
      </w:r>
      <w:r w:rsidRPr="0072084B">
        <w:rPr>
          <w:rFonts w:eastAsiaTheme="minorEastAsia" w:cs="Times New Roman"/>
          <w:bCs/>
          <w:i/>
          <w:color w:val="000000" w:themeColor="text1"/>
        </w:rPr>
        <w:t>Learning and teaching geometry</w:t>
      </w:r>
      <w:r w:rsidRPr="0072084B">
        <w:rPr>
          <w:rFonts w:eastAsiaTheme="minorEastAsia" w:cs="Times New Roman"/>
          <w:bCs/>
          <w:color w:val="000000" w:themeColor="text1"/>
        </w:rPr>
        <w:t xml:space="preserve">, </w:t>
      </w:r>
      <w:r w:rsidRPr="0072084B">
        <w:rPr>
          <w:rFonts w:eastAsiaTheme="minorEastAsia" w:cs="Times New Roman"/>
          <w:bCs/>
          <w:i/>
          <w:color w:val="000000" w:themeColor="text1"/>
        </w:rPr>
        <w:t>K-12</w:t>
      </w:r>
      <w:r w:rsidRPr="0072084B">
        <w:rPr>
          <w:rFonts w:eastAsiaTheme="minorEastAsia" w:cs="Times New Roman"/>
          <w:bCs/>
          <w:color w:val="000000" w:themeColor="text1"/>
        </w:rPr>
        <w:t xml:space="preserve">, </w:t>
      </w:r>
      <w:r w:rsidRPr="0072084B">
        <w:rPr>
          <w:rFonts w:eastAsiaTheme="minorEastAsia" w:cs="Times New Roman"/>
          <w:bCs/>
          <w:i/>
          <w:color w:val="000000" w:themeColor="text1"/>
        </w:rPr>
        <w:t>1</w:t>
      </w:r>
      <w:r w:rsidRPr="0072084B">
        <w:rPr>
          <w:rFonts w:eastAsiaTheme="minorEastAsia" w:cs="Times New Roman"/>
          <w:bCs/>
          <w:color w:val="000000" w:themeColor="text1"/>
        </w:rPr>
        <w:t>, 1-16.</w:t>
      </w:r>
    </w:p>
    <w:p w14:paraId="7A075EBE" w14:textId="77777777" w:rsidR="0072084B" w:rsidRPr="0072084B" w:rsidRDefault="0072084B" w:rsidP="004F4B5A">
      <w:pPr>
        <w:spacing w:line="360" w:lineRule="auto"/>
        <w:ind w:left="706" w:hanging="706"/>
        <w:rPr>
          <w:rFonts w:eastAsiaTheme="minorEastAsia" w:cs="Times New Roman"/>
          <w:bCs/>
          <w:color w:val="000000" w:themeColor="text1"/>
        </w:rPr>
      </w:pPr>
      <w:r w:rsidRPr="0072084B">
        <w:rPr>
          <w:rFonts w:eastAsiaTheme="minorEastAsia" w:cs="Times New Roman"/>
          <w:bCs/>
          <w:color w:val="000000" w:themeColor="text1"/>
        </w:rPr>
        <w:t xml:space="preserve">de La Torre, J. (2009). DINA model and parameter estimation: A didactic. Journal of </w:t>
      </w:r>
      <w:r w:rsidRPr="0072084B">
        <w:rPr>
          <w:rFonts w:eastAsiaTheme="minorEastAsia" w:cs="Times New Roman"/>
          <w:bCs/>
          <w:i/>
          <w:color w:val="000000" w:themeColor="text1"/>
        </w:rPr>
        <w:t>Educational and Behavioral Statistics</w:t>
      </w:r>
      <w:r w:rsidRPr="0072084B">
        <w:rPr>
          <w:rFonts w:eastAsiaTheme="minorEastAsia" w:cs="Times New Roman"/>
          <w:bCs/>
          <w:color w:val="000000" w:themeColor="text1"/>
        </w:rPr>
        <w:t xml:space="preserve">, </w:t>
      </w:r>
      <w:r w:rsidRPr="0072084B">
        <w:rPr>
          <w:rFonts w:eastAsiaTheme="minorEastAsia" w:cs="Times New Roman"/>
          <w:bCs/>
          <w:i/>
          <w:color w:val="000000" w:themeColor="text1"/>
        </w:rPr>
        <w:t>34</w:t>
      </w:r>
      <w:r w:rsidRPr="0072084B">
        <w:rPr>
          <w:rFonts w:eastAsiaTheme="minorEastAsia" w:cs="Times New Roman"/>
          <w:bCs/>
          <w:color w:val="000000" w:themeColor="text1"/>
        </w:rPr>
        <w:t xml:space="preserve">(1), 115-130. </w:t>
      </w:r>
      <w:hyperlink r:id="rId12" w:history="1">
        <w:r w:rsidRPr="0072084B">
          <w:rPr>
            <w:rStyle w:val="Hyperlink"/>
            <w:rFonts w:eastAsiaTheme="minorEastAsia" w:cs="Times New Roman"/>
            <w:bCs/>
          </w:rPr>
          <w:t>https://doi.org/10.3102/1076998607309474</w:t>
        </w:r>
      </w:hyperlink>
    </w:p>
    <w:p w14:paraId="07CAA454" w14:textId="77777777" w:rsidR="0072084B" w:rsidRPr="0072084B" w:rsidRDefault="0072084B" w:rsidP="004F4B5A">
      <w:pPr>
        <w:spacing w:line="360" w:lineRule="auto"/>
        <w:ind w:left="706" w:hanging="706"/>
        <w:rPr>
          <w:rFonts w:eastAsiaTheme="minorEastAsia" w:cs="Times New Roman"/>
          <w:bCs/>
          <w:color w:val="000000" w:themeColor="text1"/>
        </w:rPr>
      </w:pPr>
      <w:bookmarkStart w:id="10" w:name="_Hlk194314270"/>
      <w:r w:rsidRPr="0072084B">
        <w:rPr>
          <w:rFonts w:eastAsiaTheme="minorEastAsia" w:cs="Times New Roman"/>
          <w:bCs/>
          <w:color w:val="000000" w:themeColor="text1"/>
        </w:rPr>
        <w:t xml:space="preserve">Junker, B. W., &amp; </w:t>
      </w:r>
      <w:proofErr w:type="spellStart"/>
      <w:r w:rsidRPr="0072084B">
        <w:rPr>
          <w:rFonts w:eastAsiaTheme="minorEastAsia" w:cs="Times New Roman"/>
          <w:bCs/>
          <w:color w:val="000000" w:themeColor="text1"/>
        </w:rPr>
        <w:t>Sijtsma</w:t>
      </w:r>
      <w:proofErr w:type="spellEnd"/>
      <w:r w:rsidRPr="0072084B">
        <w:rPr>
          <w:rFonts w:eastAsiaTheme="minorEastAsia" w:cs="Times New Roman"/>
          <w:bCs/>
          <w:color w:val="000000" w:themeColor="text1"/>
        </w:rPr>
        <w:t xml:space="preserve">, K. (2001). Cognitive assessment models with few assumptions, and connections with nonparametric item response theory. </w:t>
      </w:r>
      <w:r w:rsidRPr="0072084B">
        <w:rPr>
          <w:rFonts w:eastAsiaTheme="minorEastAsia" w:cs="Times New Roman"/>
          <w:bCs/>
          <w:i/>
          <w:color w:val="000000" w:themeColor="text1"/>
        </w:rPr>
        <w:t>Applied Psychological Measurement</w:t>
      </w:r>
      <w:r w:rsidRPr="0072084B">
        <w:rPr>
          <w:rFonts w:eastAsiaTheme="minorEastAsia" w:cs="Times New Roman"/>
          <w:bCs/>
          <w:color w:val="000000" w:themeColor="text1"/>
        </w:rPr>
        <w:t xml:space="preserve">, </w:t>
      </w:r>
      <w:r w:rsidRPr="0072084B">
        <w:rPr>
          <w:rFonts w:eastAsiaTheme="minorEastAsia" w:cs="Times New Roman"/>
          <w:bCs/>
          <w:i/>
          <w:color w:val="000000" w:themeColor="text1"/>
        </w:rPr>
        <w:t>25</w:t>
      </w:r>
      <w:r w:rsidRPr="0072084B">
        <w:rPr>
          <w:rFonts w:eastAsiaTheme="minorEastAsia" w:cs="Times New Roman"/>
          <w:bCs/>
          <w:color w:val="000000" w:themeColor="text1"/>
        </w:rPr>
        <w:t xml:space="preserve">, 258-272. </w:t>
      </w:r>
      <w:hyperlink r:id="rId13" w:history="1">
        <w:r w:rsidRPr="0072084B">
          <w:rPr>
            <w:rStyle w:val="Hyperlink"/>
            <w:rFonts w:eastAsiaTheme="minorEastAsia" w:cs="Times New Roman"/>
            <w:bCs/>
          </w:rPr>
          <w:t>https://doi.org/10.1177/01466210122032064</w:t>
        </w:r>
      </w:hyperlink>
      <w:r w:rsidRPr="0072084B">
        <w:rPr>
          <w:rFonts w:eastAsiaTheme="minorEastAsia" w:cs="Times New Roman"/>
          <w:bCs/>
          <w:color w:val="000000" w:themeColor="text1"/>
        </w:rPr>
        <w:t xml:space="preserve"> </w:t>
      </w:r>
    </w:p>
    <w:bookmarkEnd w:id="10"/>
    <w:p w14:paraId="040ED3F4" w14:textId="77777777" w:rsidR="0072084B" w:rsidRPr="0072084B" w:rsidRDefault="0072084B" w:rsidP="004F4B5A">
      <w:pPr>
        <w:spacing w:line="360" w:lineRule="auto"/>
        <w:ind w:left="706" w:hanging="706"/>
        <w:rPr>
          <w:rFonts w:eastAsiaTheme="minorEastAsia" w:cs="Times New Roman"/>
          <w:bCs/>
          <w:color w:val="000000" w:themeColor="text1"/>
        </w:rPr>
      </w:pPr>
      <w:r w:rsidRPr="0072084B">
        <w:rPr>
          <w:rFonts w:eastAsiaTheme="minorEastAsia" w:cs="Times New Roman"/>
          <w:bCs/>
          <w:color w:val="000000" w:themeColor="text1"/>
        </w:rPr>
        <w:lastRenderedPageBreak/>
        <w:t xml:space="preserve">Leighton, J. P., </w:t>
      </w:r>
      <w:proofErr w:type="spellStart"/>
      <w:r w:rsidRPr="0072084B">
        <w:rPr>
          <w:rFonts w:eastAsiaTheme="minorEastAsia" w:cs="Times New Roman"/>
          <w:bCs/>
          <w:color w:val="000000" w:themeColor="text1"/>
        </w:rPr>
        <w:t>Gierl</w:t>
      </w:r>
      <w:proofErr w:type="spellEnd"/>
      <w:r w:rsidRPr="0072084B">
        <w:rPr>
          <w:rFonts w:eastAsiaTheme="minorEastAsia" w:cs="Times New Roman"/>
          <w:bCs/>
          <w:color w:val="000000" w:themeColor="text1"/>
        </w:rPr>
        <w:t xml:space="preserve">, M. J., &amp; </w:t>
      </w:r>
      <w:proofErr w:type="spellStart"/>
      <w:r w:rsidRPr="0072084B">
        <w:rPr>
          <w:rFonts w:eastAsiaTheme="minorEastAsia" w:cs="Times New Roman"/>
          <w:bCs/>
          <w:color w:val="000000" w:themeColor="text1"/>
        </w:rPr>
        <w:t>Hunka</w:t>
      </w:r>
      <w:proofErr w:type="spellEnd"/>
      <w:r w:rsidRPr="0072084B">
        <w:rPr>
          <w:rFonts w:eastAsiaTheme="minorEastAsia" w:cs="Times New Roman"/>
          <w:bCs/>
          <w:color w:val="000000" w:themeColor="text1"/>
        </w:rPr>
        <w:t xml:space="preserve">, S. M. (2004). The Attribute Hierarchy Method for Cognitive Assessment: A Variation on </w:t>
      </w:r>
      <w:proofErr w:type="spellStart"/>
      <w:r w:rsidRPr="0072084B">
        <w:rPr>
          <w:rFonts w:eastAsiaTheme="minorEastAsia" w:cs="Times New Roman"/>
          <w:bCs/>
          <w:color w:val="000000" w:themeColor="text1"/>
        </w:rPr>
        <w:t>Tatsuoka’s</w:t>
      </w:r>
      <w:proofErr w:type="spellEnd"/>
      <w:r w:rsidRPr="0072084B">
        <w:rPr>
          <w:rFonts w:eastAsiaTheme="minorEastAsia" w:cs="Times New Roman"/>
          <w:bCs/>
          <w:color w:val="000000" w:themeColor="text1"/>
        </w:rPr>
        <w:t xml:space="preserve"> Rule-Space Approach</w:t>
      </w:r>
      <w:r w:rsidRPr="0072084B">
        <w:rPr>
          <w:rFonts w:eastAsiaTheme="minorEastAsia" w:cs="Times New Roman"/>
          <w:bCs/>
          <w:i/>
          <w:color w:val="000000" w:themeColor="text1"/>
        </w:rPr>
        <w:t>. Journal of Educational Measurement</w:t>
      </w:r>
      <w:r w:rsidRPr="0072084B">
        <w:rPr>
          <w:rFonts w:eastAsiaTheme="minorEastAsia" w:cs="Times New Roman"/>
          <w:bCs/>
          <w:color w:val="000000" w:themeColor="text1"/>
        </w:rPr>
        <w:t xml:space="preserve">, </w:t>
      </w:r>
      <w:r w:rsidRPr="0072084B">
        <w:rPr>
          <w:rFonts w:eastAsiaTheme="minorEastAsia" w:cs="Times New Roman"/>
          <w:bCs/>
          <w:i/>
          <w:color w:val="000000" w:themeColor="text1"/>
        </w:rPr>
        <w:t>41</w:t>
      </w:r>
      <w:r w:rsidRPr="0072084B">
        <w:rPr>
          <w:rFonts w:eastAsiaTheme="minorEastAsia" w:cs="Times New Roman"/>
          <w:bCs/>
          <w:color w:val="000000" w:themeColor="text1"/>
        </w:rPr>
        <w:t xml:space="preserve">(3), 205–237. </w:t>
      </w:r>
      <w:hyperlink r:id="rId14" w:history="1">
        <w:r w:rsidRPr="0072084B">
          <w:rPr>
            <w:rStyle w:val="Hyperlink"/>
            <w:rFonts w:eastAsiaTheme="minorEastAsia" w:cs="Times New Roman"/>
            <w:bCs/>
          </w:rPr>
          <w:t>http://www.jstor.org/stable/1435314</w:t>
        </w:r>
      </w:hyperlink>
      <w:r w:rsidRPr="0072084B">
        <w:rPr>
          <w:rFonts w:eastAsiaTheme="minorEastAsia" w:cs="Times New Roman"/>
          <w:bCs/>
          <w:color w:val="000000" w:themeColor="text1"/>
        </w:rPr>
        <w:t xml:space="preserve">  </w:t>
      </w:r>
    </w:p>
    <w:p w14:paraId="47E5FC46" w14:textId="77777777" w:rsidR="0072084B" w:rsidRPr="0072084B" w:rsidRDefault="0072084B" w:rsidP="004F4B5A">
      <w:pPr>
        <w:spacing w:line="360" w:lineRule="auto"/>
        <w:ind w:left="706" w:hanging="706"/>
        <w:rPr>
          <w:rFonts w:eastAsiaTheme="minorEastAsia" w:cs="Times New Roman"/>
          <w:bCs/>
          <w:i/>
          <w:iCs/>
          <w:color w:val="000000" w:themeColor="text1"/>
        </w:rPr>
      </w:pPr>
      <w:r w:rsidRPr="0072084B">
        <w:rPr>
          <w:rFonts w:eastAsiaTheme="minorEastAsia" w:cs="Times New Roman"/>
          <w:bCs/>
          <w:color w:val="000000" w:themeColor="text1"/>
        </w:rPr>
        <w:t xml:space="preserve">Liu, R. (2018). Misspecification of attribute structure in diagnostic measurement. </w:t>
      </w:r>
      <w:r w:rsidRPr="0072084B">
        <w:rPr>
          <w:rFonts w:eastAsiaTheme="minorEastAsia" w:cs="Times New Roman"/>
          <w:bCs/>
          <w:i/>
          <w:iCs/>
          <w:color w:val="000000" w:themeColor="text1"/>
        </w:rPr>
        <w:t>Educational and Psychological Measurement</w:t>
      </w:r>
      <w:r w:rsidRPr="0072084B">
        <w:rPr>
          <w:rFonts w:eastAsiaTheme="minorEastAsia" w:cs="Times New Roman"/>
          <w:bCs/>
          <w:color w:val="000000" w:themeColor="text1"/>
        </w:rPr>
        <w:t xml:space="preserve">, </w:t>
      </w:r>
      <w:r w:rsidRPr="0072084B">
        <w:rPr>
          <w:rFonts w:eastAsiaTheme="minorEastAsia" w:cs="Times New Roman"/>
          <w:bCs/>
          <w:i/>
          <w:iCs/>
          <w:color w:val="000000" w:themeColor="text1"/>
        </w:rPr>
        <w:t>78</w:t>
      </w:r>
      <w:r w:rsidRPr="0072084B">
        <w:rPr>
          <w:rFonts w:eastAsiaTheme="minorEastAsia" w:cs="Times New Roman"/>
          <w:bCs/>
          <w:color w:val="000000" w:themeColor="text1"/>
        </w:rPr>
        <w:t xml:space="preserve">(4), 605-634. </w:t>
      </w:r>
      <w:hyperlink r:id="rId15" w:history="1">
        <w:r w:rsidRPr="0072084B">
          <w:rPr>
            <w:rStyle w:val="Hyperlink"/>
            <w:rFonts w:eastAsiaTheme="minorEastAsia" w:cs="Times New Roman"/>
            <w:bCs/>
          </w:rPr>
          <w:t>https://doi.org/10.1177/0013164417702458</w:t>
        </w:r>
      </w:hyperlink>
    </w:p>
    <w:p w14:paraId="5D0BF1F4" w14:textId="77777777" w:rsidR="0072084B" w:rsidRPr="0072084B" w:rsidRDefault="0072084B" w:rsidP="004F4B5A">
      <w:pPr>
        <w:spacing w:after="0" w:line="360" w:lineRule="auto"/>
        <w:ind w:left="709" w:hanging="709"/>
        <w:contextualSpacing/>
        <w:rPr>
          <w:rStyle w:val="Hyperlink"/>
          <w:rFonts w:eastAsiaTheme="minorEastAsia" w:cs="Times New Roman"/>
          <w:bCs/>
          <w:color w:val="000000" w:themeColor="text1"/>
        </w:rPr>
      </w:pPr>
      <w:r w:rsidRPr="0072084B">
        <w:rPr>
          <w:rFonts w:eastAsiaTheme="minorEastAsia" w:cs="Times New Roman"/>
          <w:bCs/>
          <w:color w:val="000000" w:themeColor="text1"/>
        </w:rPr>
        <w:t xml:space="preserve">Liu, R., &amp; Huggins-Manley, A. C. (2016). The specification of attribute structures and ist  effects on classification accuracy in diagnostic test design. In L. A. van der Ark, D. M. Bolt, W.-C. Wang, J. A. Douglas, &amp; M. Wiberg (Eds.), </w:t>
      </w:r>
      <w:r w:rsidRPr="0072084B">
        <w:rPr>
          <w:rFonts w:eastAsiaTheme="minorEastAsia" w:cs="Times New Roman"/>
          <w:bCs/>
          <w:i/>
          <w:color w:val="000000" w:themeColor="text1"/>
        </w:rPr>
        <w:t>Quantitative psychology research</w:t>
      </w:r>
      <w:r w:rsidRPr="0072084B">
        <w:rPr>
          <w:rFonts w:eastAsiaTheme="minorEastAsia" w:cs="Times New Roman"/>
          <w:bCs/>
          <w:color w:val="000000" w:themeColor="text1"/>
        </w:rPr>
        <w:t xml:space="preserve"> (pp. 243-254). New York, NY: Springer. </w:t>
      </w:r>
      <w:hyperlink r:id="rId16" w:history="1">
        <w:r w:rsidRPr="0072084B">
          <w:rPr>
            <w:rStyle w:val="Hyperlink"/>
            <w:rFonts w:eastAsiaTheme="minorEastAsia" w:cs="Times New Roman"/>
            <w:bCs/>
          </w:rPr>
          <w:t>https://doi.org/10.1007/978-3-319 38759-8_18</w:t>
        </w:r>
      </w:hyperlink>
    </w:p>
    <w:p w14:paraId="2E4E0664" w14:textId="77777777" w:rsidR="0072084B" w:rsidRPr="0072084B" w:rsidRDefault="0072084B" w:rsidP="004F4B5A">
      <w:pPr>
        <w:spacing w:line="360" w:lineRule="auto"/>
        <w:ind w:left="706" w:hanging="706"/>
        <w:rPr>
          <w:rFonts w:eastAsiaTheme="minorEastAsia" w:cs="Times New Roman"/>
          <w:bCs/>
          <w:color w:val="000000" w:themeColor="text1"/>
        </w:rPr>
      </w:pPr>
      <w:r w:rsidRPr="0072084B">
        <w:rPr>
          <w:rFonts w:eastAsiaTheme="minorEastAsia" w:cs="Times New Roman"/>
          <w:bCs/>
          <w:color w:val="000000" w:themeColor="text1"/>
        </w:rPr>
        <w:t xml:space="preserve">Mayer, R. E. (1996). Learners as information processors: Legacies and limitations of educational psychology’s second. </w:t>
      </w:r>
      <w:r w:rsidRPr="0072084B">
        <w:rPr>
          <w:rFonts w:eastAsiaTheme="minorEastAsia" w:cs="Times New Roman"/>
          <w:bCs/>
          <w:i/>
          <w:color w:val="000000" w:themeColor="text1"/>
        </w:rPr>
        <w:t>Educational Psychologist</w:t>
      </w:r>
      <w:r w:rsidRPr="0072084B">
        <w:rPr>
          <w:rFonts w:eastAsiaTheme="minorEastAsia" w:cs="Times New Roman"/>
          <w:bCs/>
          <w:color w:val="000000" w:themeColor="text1"/>
        </w:rPr>
        <w:t xml:space="preserve">, </w:t>
      </w:r>
      <w:r w:rsidRPr="0072084B">
        <w:rPr>
          <w:rFonts w:eastAsiaTheme="minorEastAsia" w:cs="Times New Roman"/>
          <w:bCs/>
          <w:i/>
          <w:color w:val="000000" w:themeColor="text1"/>
        </w:rPr>
        <w:t>31</w:t>
      </w:r>
      <w:r w:rsidRPr="0072084B">
        <w:rPr>
          <w:rFonts w:eastAsiaTheme="minorEastAsia" w:cs="Times New Roman"/>
          <w:bCs/>
          <w:color w:val="000000" w:themeColor="text1"/>
        </w:rPr>
        <w:t xml:space="preserve">(3–4), 151–161. </w:t>
      </w:r>
      <w:hyperlink r:id="rId17" w:history="1">
        <w:r w:rsidRPr="0072084B">
          <w:rPr>
            <w:rStyle w:val="Hyperlink"/>
            <w:rFonts w:eastAsiaTheme="minorEastAsia" w:cs="Times New Roman"/>
            <w:bCs/>
          </w:rPr>
          <w:t>https://doi.org/10.1080/00461520.1996.9653263</w:t>
        </w:r>
      </w:hyperlink>
      <w:r w:rsidRPr="0072084B">
        <w:rPr>
          <w:rFonts w:eastAsiaTheme="minorEastAsia" w:cs="Times New Roman"/>
          <w:bCs/>
          <w:color w:val="000000" w:themeColor="text1"/>
        </w:rPr>
        <w:t xml:space="preserve"> </w:t>
      </w:r>
    </w:p>
    <w:p w14:paraId="025801A0" w14:textId="77777777" w:rsidR="0072084B" w:rsidRPr="0072084B" w:rsidRDefault="0072084B" w:rsidP="004F4B5A">
      <w:pPr>
        <w:spacing w:line="360" w:lineRule="auto"/>
        <w:ind w:left="706" w:hanging="706"/>
        <w:rPr>
          <w:rFonts w:eastAsiaTheme="minorEastAsia" w:cs="Times New Roman"/>
          <w:bCs/>
          <w:color w:val="000000" w:themeColor="text1"/>
        </w:rPr>
      </w:pPr>
      <w:r w:rsidRPr="0072084B">
        <w:rPr>
          <w:rFonts w:eastAsiaTheme="minorEastAsia" w:cs="Times New Roman"/>
          <w:bCs/>
          <w:color w:val="000000" w:themeColor="text1"/>
        </w:rPr>
        <w:t xml:space="preserve">R Core Team. (2012). R: A Language and Environment for Statistical Computing. R Foundation for Statistical Computing Vienna Austria. Retrieved from </w:t>
      </w:r>
      <w:hyperlink r:id="rId18" w:history="1">
        <w:r w:rsidRPr="0072084B">
          <w:rPr>
            <w:rStyle w:val="Hyperlink"/>
            <w:rFonts w:eastAsiaTheme="minorEastAsia" w:cs="Times New Roman"/>
            <w:bCs/>
          </w:rPr>
          <w:t>http://www.R-project.org/</w:t>
        </w:r>
      </w:hyperlink>
      <w:r w:rsidRPr="0072084B">
        <w:rPr>
          <w:rFonts w:eastAsiaTheme="minorEastAsia" w:cs="Times New Roman"/>
          <w:bCs/>
          <w:color w:val="000000" w:themeColor="text1"/>
        </w:rPr>
        <w:t xml:space="preserve"> </w:t>
      </w:r>
    </w:p>
    <w:p w14:paraId="0542FBB2" w14:textId="77777777" w:rsidR="0072084B" w:rsidRPr="0072084B" w:rsidRDefault="0072084B" w:rsidP="004F4B5A">
      <w:pPr>
        <w:spacing w:line="360" w:lineRule="auto"/>
        <w:ind w:left="706" w:hanging="706"/>
        <w:rPr>
          <w:rFonts w:eastAsiaTheme="minorEastAsia" w:cs="Times New Roman"/>
          <w:bCs/>
          <w:color w:val="000000" w:themeColor="text1"/>
        </w:rPr>
      </w:pPr>
      <w:r w:rsidRPr="0072084B">
        <w:rPr>
          <w:rFonts w:eastAsiaTheme="minorEastAsia" w:cs="Times New Roman"/>
          <w:bCs/>
          <w:color w:val="000000" w:themeColor="text1"/>
        </w:rPr>
        <w:t xml:space="preserve">Rupp, A. A., Templin, J., &amp; Henson, R. A. (2010). </w:t>
      </w:r>
      <w:r w:rsidRPr="0072084B">
        <w:rPr>
          <w:rFonts w:eastAsiaTheme="minorEastAsia" w:cs="Times New Roman"/>
          <w:bCs/>
          <w:i/>
          <w:color w:val="000000" w:themeColor="text1"/>
        </w:rPr>
        <w:t>Diagnostic measurement: Theory, methods, and applications</w:t>
      </w:r>
      <w:r w:rsidRPr="0072084B">
        <w:rPr>
          <w:rFonts w:eastAsiaTheme="minorEastAsia" w:cs="Times New Roman"/>
          <w:bCs/>
          <w:color w:val="000000" w:themeColor="text1"/>
        </w:rPr>
        <w:t>. Guilford Press.</w:t>
      </w:r>
    </w:p>
    <w:p w14:paraId="75BE815A" w14:textId="77777777" w:rsidR="0072084B" w:rsidRPr="0072084B" w:rsidRDefault="0072084B" w:rsidP="004F4B5A">
      <w:pPr>
        <w:spacing w:line="360" w:lineRule="auto"/>
        <w:ind w:left="706" w:hanging="706"/>
        <w:rPr>
          <w:rFonts w:eastAsiaTheme="minorEastAsia" w:cs="Times New Roman"/>
          <w:bCs/>
          <w:color w:val="000000" w:themeColor="text1"/>
        </w:rPr>
      </w:pPr>
      <w:proofErr w:type="spellStart"/>
      <w:r w:rsidRPr="0072084B">
        <w:rPr>
          <w:rFonts w:eastAsiaTheme="minorEastAsia" w:cs="Times New Roman"/>
          <w:bCs/>
          <w:color w:val="000000" w:themeColor="text1"/>
        </w:rPr>
        <w:t>Tatsuoka</w:t>
      </w:r>
      <w:proofErr w:type="spellEnd"/>
      <w:r w:rsidRPr="0072084B">
        <w:rPr>
          <w:rFonts w:eastAsiaTheme="minorEastAsia" w:cs="Times New Roman"/>
          <w:bCs/>
          <w:color w:val="000000" w:themeColor="text1"/>
        </w:rPr>
        <w:t xml:space="preserve">, K. K. (1983). Rule Space: An Approach for Dealing with Misconceptions Based on Item Response Theory. </w:t>
      </w:r>
      <w:r w:rsidRPr="0072084B">
        <w:rPr>
          <w:rFonts w:eastAsiaTheme="minorEastAsia" w:cs="Times New Roman"/>
          <w:bCs/>
          <w:i/>
          <w:color w:val="000000" w:themeColor="text1"/>
        </w:rPr>
        <w:t>Journal of Educational Measurement</w:t>
      </w:r>
      <w:r w:rsidRPr="0072084B">
        <w:rPr>
          <w:rFonts w:eastAsiaTheme="minorEastAsia" w:cs="Times New Roman"/>
          <w:bCs/>
          <w:color w:val="000000" w:themeColor="text1"/>
        </w:rPr>
        <w:t xml:space="preserve">, </w:t>
      </w:r>
      <w:r w:rsidRPr="0072084B">
        <w:rPr>
          <w:rFonts w:eastAsiaTheme="minorEastAsia" w:cs="Times New Roman"/>
          <w:bCs/>
          <w:i/>
          <w:color w:val="000000" w:themeColor="text1"/>
        </w:rPr>
        <w:t>20</w:t>
      </w:r>
      <w:r w:rsidRPr="0072084B">
        <w:rPr>
          <w:rFonts w:eastAsiaTheme="minorEastAsia" w:cs="Times New Roman"/>
          <w:bCs/>
          <w:color w:val="000000" w:themeColor="text1"/>
        </w:rPr>
        <w:t xml:space="preserve">(4), 345–354. </w:t>
      </w:r>
      <w:hyperlink r:id="rId19" w:history="1">
        <w:r w:rsidRPr="0072084B">
          <w:rPr>
            <w:rStyle w:val="Hyperlink"/>
            <w:rFonts w:eastAsiaTheme="minorEastAsia" w:cs="Times New Roman"/>
            <w:bCs/>
          </w:rPr>
          <w:t>http://www.jstor.org/stable/1434951</w:t>
        </w:r>
      </w:hyperlink>
      <w:r w:rsidRPr="0072084B">
        <w:rPr>
          <w:rFonts w:eastAsiaTheme="minorEastAsia" w:cs="Times New Roman"/>
          <w:bCs/>
          <w:color w:val="000000" w:themeColor="text1"/>
        </w:rPr>
        <w:t xml:space="preserve"> </w:t>
      </w:r>
    </w:p>
    <w:p w14:paraId="2875588B" w14:textId="77777777" w:rsidR="0072084B" w:rsidRPr="00924E62" w:rsidRDefault="0072084B" w:rsidP="004F4B5A">
      <w:pPr>
        <w:spacing w:line="360" w:lineRule="auto"/>
        <w:ind w:left="706" w:hanging="706"/>
        <w:rPr>
          <w:rFonts w:eastAsiaTheme="minorEastAsia" w:cs="Times New Roman"/>
          <w:bCs/>
          <w:color w:val="000000" w:themeColor="text1"/>
        </w:rPr>
      </w:pPr>
      <w:r w:rsidRPr="0072084B">
        <w:rPr>
          <w:rFonts w:eastAsiaTheme="minorEastAsia" w:cs="Times New Roman"/>
          <w:bCs/>
          <w:color w:val="000000" w:themeColor="text1"/>
        </w:rPr>
        <w:t xml:space="preserve">Templin, J. L., Henson, R. A., Templin, S. E., &amp; Roussos, L. (2008). Robustness of hierarchical </w:t>
      </w:r>
      <w:r w:rsidRPr="0072084B">
        <w:rPr>
          <w:rFonts w:eastAsiaTheme="minorEastAsia" w:cs="Times New Roman"/>
          <w:bCs/>
          <w:color w:val="000000" w:themeColor="text1"/>
        </w:rPr>
        <w:tab/>
        <w:t xml:space="preserve">modeling of skill association in cognitive diagnosis models. </w:t>
      </w:r>
      <w:r w:rsidRPr="0072084B">
        <w:rPr>
          <w:rFonts w:eastAsiaTheme="minorEastAsia" w:cs="Times New Roman"/>
          <w:bCs/>
          <w:i/>
          <w:iCs/>
          <w:color w:val="000000" w:themeColor="text1"/>
        </w:rPr>
        <w:t>Applied Psychological Measurement</w:t>
      </w:r>
      <w:r w:rsidRPr="0072084B">
        <w:rPr>
          <w:rFonts w:eastAsiaTheme="minorEastAsia" w:cs="Times New Roman"/>
          <w:bCs/>
          <w:color w:val="000000" w:themeColor="text1"/>
        </w:rPr>
        <w:t xml:space="preserve">, </w:t>
      </w:r>
      <w:r w:rsidRPr="0072084B">
        <w:rPr>
          <w:rFonts w:eastAsiaTheme="minorEastAsia" w:cs="Times New Roman"/>
          <w:bCs/>
          <w:i/>
          <w:iCs/>
          <w:color w:val="000000" w:themeColor="text1"/>
        </w:rPr>
        <w:t>32</w:t>
      </w:r>
      <w:r w:rsidRPr="0072084B">
        <w:rPr>
          <w:rFonts w:eastAsiaTheme="minorEastAsia" w:cs="Times New Roman"/>
          <w:bCs/>
          <w:color w:val="000000" w:themeColor="text1"/>
        </w:rPr>
        <w:t xml:space="preserve">(7), 559–574. </w:t>
      </w:r>
      <w:hyperlink r:id="rId20" w:history="1">
        <w:r w:rsidRPr="0072084B">
          <w:rPr>
            <w:rStyle w:val="Hyperlink"/>
            <w:rFonts w:eastAsiaTheme="minorEastAsia" w:cs="Times New Roman"/>
            <w:bCs/>
          </w:rPr>
          <w:t>https://doi.org/10.1177/0146621607300286</w:t>
        </w:r>
      </w:hyperlink>
    </w:p>
    <w:p w14:paraId="0782A10E" w14:textId="77777777" w:rsidR="00205D0A" w:rsidRDefault="00205D0A" w:rsidP="004F4B5A">
      <w:pPr>
        <w:jc w:val="both"/>
        <w:rPr>
          <w:rFonts w:ascii="Calibri" w:eastAsiaTheme="minorEastAsia" w:hAnsi="Calibri" w:cs="Calibri"/>
          <w:b/>
          <w:sz w:val="24"/>
          <w:szCs w:val="32"/>
        </w:rPr>
      </w:pPr>
    </w:p>
    <w:sectPr w:rsidR="00205D0A" w:rsidSect="006C2045">
      <w:headerReference w:type="even" r:id="rId21"/>
      <w:headerReference w:type="default" r:id="rId22"/>
      <w:head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FD29C" w14:textId="77777777" w:rsidR="00E86A6A" w:rsidRDefault="00E86A6A" w:rsidP="00427579">
      <w:pPr>
        <w:spacing w:after="0" w:line="240" w:lineRule="auto"/>
      </w:pPr>
      <w:r>
        <w:separator/>
      </w:r>
    </w:p>
  </w:endnote>
  <w:endnote w:type="continuationSeparator" w:id="0">
    <w:p w14:paraId="0E47843C" w14:textId="77777777" w:rsidR="00E86A6A" w:rsidRDefault="00E86A6A" w:rsidP="0042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837EA" w14:textId="77777777" w:rsidR="00E86A6A" w:rsidRDefault="00E86A6A" w:rsidP="00427579">
      <w:pPr>
        <w:spacing w:after="0" w:line="240" w:lineRule="auto"/>
      </w:pPr>
      <w:r>
        <w:separator/>
      </w:r>
    </w:p>
  </w:footnote>
  <w:footnote w:type="continuationSeparator" w:id="0">
    <w:p w14:paraId="160024FE" w14:textId="77777777" w:rsidR="00E86A6A" w:rsidRDefault="00E86A6A" w:rsidP="00427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7239603"/>
      <w:docPartObj>
        <w:docPartGallery w:val="Page Numbers (Top of Page)"/>
        <w:docPartUnique/>
      </w:docPartObj>
    </w:sdtPr>
    <w:sdtEndPr>
      <w:rPr>
        <w:noProof/>
      </w:rPr>
    </w:sdtEndPr>
    <w:sdtContent>
      <w:p w14:paraId="50F28C30" w14:textId="0C919E16" w:rsidR="006C2045" w:rsidRDefault="006C2045">
        <w:pPr>
          <w:pStyle w:val="Header"/>
        </w:pPr>
        <w:r>
          <w:fldChar w:fldCharType="begin"/>
        </w:r>
        <w:r>
          <w:instrText xml:space="preserve"> PAGE   \* MERGEFORMAT </w:instrText>
        </w:r>
        <w:r>
          <w:fldChar w:fldCharType="separate"/>
        </w:r>
        <w:r>
          <w:rPr>
            <w:noProof/>
          </w:rPr>
          <w:t>2</w:t>
        </w:r>
        <w:r>
          <w:rPr>
            <w:noProof/>
          </w:rPr>
          <w:fldChar w:fldCharType="end"/>
        </w:r>
        <w:r>
          <w:rPr>
            <w:noProof/>
          </w:rPr>
          <w:t xml:space="preserve">    </w:t>
        </w:r>
        <w:r w:rsidR="00205D0A">
          <w:rPr>
            <w:szCs w:val="32"/>
          </w:rPr>
          <w:t>Hsu</w:t>
        </w:r>
        <w:r w:rsidRPr="00D96814">
          <w:rPr>
            <w:szCs w:val="32"/>
          </w:rPr>
          <w:t xml:space="preserve"> </w:t>
        </w:r>
        <w:r w:rsidRPr="00D96814">
          <w:rPr>
            <w:rFonts w:ascii="Calibri" w:eastAsia="Calibri" w:hAnsi="Calibri" w:cs="Calibri"/>
            <w:i/>
            <w:szCs w:val="32"/>
          </w:rPr>
          <w:t>et al.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5EDD7" w14:textId="75E8D1AB" w:rsidR="006C2045" w:rsidRPr="00BF7EBD" w:rsidRDefault="00BF7EBD" w:rsidP="00BF7EBD">
    <w:pPr>
      <w:pStyle w:val="Header"/>
      <w:rPr>
        <w:rFonts w:ascii="Calibri" w:eastAsia="Calibri" w:hAnsi="Calibri" w:cs="Calibri"/>
        <w:i/>
        <w:sz w:val="18"/>
        <w:szCs w:val="32"/>
      </w:rPr>
    </w:pPr>
    <w:r w:rsidRPr="00BF7EBD">
      <w:rPr>
        <w:rFonts w:ascii="Calibri" w:eastAsia="Calibri" w:hAnsi="Calibri" w:cs="Calibri"/>
        <w:i/>
        <w:sz w:val="18"/>
        <w:szCs w:val="32"/>
      </w:rPr>
      <w:t>Proceedings of the 89th Annual International Meeting of the Psychometric Society, Prague, Czech Republic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4B195" w14:textId="621AEABC" w:rsidR="00BF7EBD" w:rsidRDefault="00BF7EBD" w:rsidP="00427579">
    <w:pPr>
      <w:pStyle w:val="Header"/>
      <w:rPr>
        <w:rFonts w:ascii="Calibri" w:eastAsia="Calibri" w:hAnsi="Calibri" w:cs="Calibri"/>
        <w:i/>
        <w:sz w:val="18"/>
        <w:szCs w:val="32"/>
      </w:rPr>
    </w:pPr>
    <w:r w:rsidRPr="00D96814">
      <w:rPr>
        <w:noProof/>
        <w:szCs w:val="32"/>
      </w:rPr>
      <w:drawing>
        <wp:anchor distT="0" distB="0" distL="114300" distR="114300" simplePos="0" relativeHeight="251658240" behindDoc="0" locked="0" layoutInCell="1" allowOverlap="1" wp14:anchorId="00C2686F" wp14:editId="3744C48A">
          <wp:simplePos x="0" y="0"/>
          <wp:positionH relativeFrom="margin">
            <wp:posOffset>3952240</wp:posOffset>
          </wp:positionH>
          <wp:positionV relativeFrom="paragraph">
            <wp:posOffset>-161925</wp:posOffset>
          </wp:positionV>
          <wp:extent cx="2132965" cy="600075"/>
          <wp:effectExtent l="0" t="0" r="635" b="9525"/>
          <wp:wrapSquare wrapText="bothSides"/>
          <wp:docPr id="513296558" name="Picture 513296558" descr="A black background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black background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32965" cy="600075"/>
                  </a:xfrm>
                  <a:prstGeom prst="rect">
                    <a:avLst/>
                  </a:prstGeom>
                </pic:spPr>
              </pic:pic>
            </a:graphicData>
          </a:graphic>
          <wp14:sizeRelH relativeFrom="margin">
            <wp14:pctWidth>0</wp14:pctWidth>
          </wp14:sizeRelH>
          <wp14:sizeRelV relativeFrom="margin">
            <wp14:pctHeight>0</wp14:pctHeight>
          </wp14:sizeRelV>
        </wp:anchor>
      </w:drawing>
    </w:r>
  </w:p>
  <w:p w14:paraId="1B7D0B48" w14:textId="22779EFC" w:rsidR="00BF7EBD" w:rsidRPr="00BF7EBD" w:rsidRDefault="00BF7EBD" w:rsidP="00427579">
    <w:pPr>
      <w:pStyle w:val="Header"/>
      <w:rPr>
        <w:rFonts w:ascii="Calibri" w:eastAsia="Calibri" w:hAnsi="Calibri" w:cs="Calibri"/>
        <w:i/>
        <w:sz w:val="16"/>
        <w:szCs w:val="16"/>
      </w:rPr>
    </w:pPr>
    <w:r w:rsidRPr="00BF7EBD">
      <w:rPr>
        <w:rFonts w:ascii="Calibri" w:eastAsia="Calibri" w:hAnsi="Calibri" w:cs="Calibri"/>
        <w:i/>
        <w:sz w:val="16"/>
        <w:szCs w:val="16"/>
      </w:rPr>
      <w:t xml:space="preserve">Proceedings of the 89th Annual International Meeting of the Psychometric </w:t>
    </w:r>
  </w:p>
  <w:p w14:paraId="6E16EE57" w14:textId="4EB95BE0" w:rsidR="00427579" w:rsidRDefault="00BF7EBD" w:rsidP="00427579">
    <w:pPr>
      <w:pStyle w:val="Header"/>
    </w:pPr>
    <w:r w:rsidRPr="00BF7EBD">
      <w:rPr>
        <w:rFonts w:ascii="Calibri" w:eastAsia="Calibri" w:hAnsi="Calibri" w:cs="Calibri"/>
        <w:i/>
        <w:sz w:val="16"/>
        <w:szCs w:val="16"/>
      </w:rPr>
      <w:t xml:space="preserve">Society, Prague, Czech Republic </w:t>
    </w:r>
    <w:r w:rsidR="00427579" w:rsidRPr="00BF7EBD">
      <w:rPr>
        <w:sz w:val="16"/>
        <w:szCs w:val="16"/>
      </w:rPr>
      <w:t>(202</w:t>
    </w:r>
    <w:r w:rsidR="001E00D1" w:rsidRPr="00BF7EBD">
      <w:rPr>
        <w:sz w:val="16"/>
        <w:szCs w:val="16"/>
      </w:rPr>
      <w:t>4</w:t>
    </w:r>
    <w:r w:rsidR="00427579" w:rsidRPr="00BF7EBD">
      <w:rPr>
        <w:sz w:val="16"/>
        <w:szCs w:val="16"/>
      </w:rPr>
      <w:t>).</w:t>
    </w:r>
    <w:r w:rsidR="00427579">
      <w:rPr>
        <w:sz w:val="18"/>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35557D"/>
    <w:multiLevelType w:val="hybridMultilevel"/>
    <w:tmpl w:val="A3D24DF0"/>
    <w:lvl w:ilvl="0" w:tplc="6368039A">
      <w:start w:val="1"/>
      <w:numFmt w:val="decimal"/>
      <w:lvlText w:val="%1"/>
      <w:lvlJc w:val="left"/>
      <w:pPr>
        <w:ind w:left="-329"/>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1" w:tplc="96688E54">
      <w:start w:val="1"/>
      <w:numFmt w:val="lowerLetter"/>
      <w:lvlText w:val="%2"/>
      <w:lvlJc w:val="left"/>
      <w:pPr>
        <w:ind w:left="43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2" w:tplc="C46E53F2">
      <w:start w:val="1"/>
      <w:numFmt w:val="lowerRoman"/>
      <w:lvlText w:val="%3"/>
      <w:lvlJc w:val="left"/>
      <w:pPr>
        <w:ind w:left="115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3" w:tplc="DEBC6FFC">
      <w:start w:val="1"/>
      <w:numFmt w:val="decimal"/>
      <w:lvlText w:val="%4"/>
      <w:lvlJc w:val="left"/>
      <w:pPr>
        <w:ind w:left="187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4" w:tplc="899A707A">
      <w:start w:val="1"/>
      <w:numFmt w:val="lowerLetter"/>
      <w:lvlText w:val="%5"/>
      <w:lvlJc w:val="left"/>
      <w:pPr>
        <w:ind w:left="259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5" w:tplc="648E0236">
      <w:start w:val="1"/>
      <w:numFmt w:val="lowerRoman"/>
      <w:lvlText w:val="%6"/>
      <w:lvlJc w:val="left"/>
      <w:pPr>
        <w:ind w:left="331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6" w:tplc="228CC2C2">
      <w:start w:val="1"/>
      <w:numFmt w:val="decimal"/>
      <w:lvlText w:val="%7"/>
      <w:lvlJc w:val="left"/>
      <w:pPr>
        <w:ind w:left="403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7" w:tplc="2584BBA8">
      <w:start w:val="1"/>
      <w:numFmt w:val="lowerLetter"/>
      <w:lvlText w:val="%8"/>
      <w:lvlJc w:val="left"/>
      <w:pPr>
        <w:ind w:left="475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8" w:tplc="9AD2110E">
      <w:start w:val="1"/>
      <w:numFmt w:val="lowerRoman"/>
      <w:lvlText w:val="%9"/>
      <w:lvlJc w:val="left"/>
      <w:pPr>
        <w:ind w:left="547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abstractNum>
  <w:abstractNum w:abstractNumId="1" w15:restartNumberingAfterBreak="0">
    <w:nsid w:val="5C7D6719"/>
    <w:multiLevelType w:val="multilevel"/>
    <w:tmpl w:val="096A7BB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5E47529"/>
    <w:multiLevelType w:val="hybridMultilevel"/>
    <w:tmpl w:val="3AF88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79"/>
    <w:rsid w:val="0001670B"/>
    <w:rsid w:val="000C37D4"/>
    <w:rsid w:val="00151552"/>
    <w:rsid w:val="001E00D1"/>
    <w:rsid w:val="00205D0A"/>
    <w:rsid w:val="0020770D"/>
    <w:rsid w:val="0029494A"/>
    <w:rsid w:val="002A1098"/>
    <w:rsid w:val="002D26C9"/>
    <w:rsid w:val="002F0FFD"/>
    <w:rsid w:val="003103AB"/>
    <w:rsid w:val="00320DF2"/>
    <w:rsid w:val="00345241"/>
    <w:rsid w:val="00346266"/>
    <w:rsid w:val="00362984"/>
    <w:rsid w:val="00373268"/>
    <w:rsid w:val="00381ED2"/>
    <w:rsid w:val="003A09B2"/>
    <w:rsid w:val="00420347"/>
    <w:rsid w:val="00427579"/>
    <w:rsid w:val="004A75F0"/>
    <w:rsid w:val="004F4B5A"/>
    <w:rsid w:val="00565D85"/>
    <w:rsid w:val="00575A9D"/>
    <w:rsid w:val="005C3718"/>
    <w:rsid w:val="00601F4E"/>
    <w:rsid w:val="006074EB"/>
    <w:rsid w:val="0061790F"/>
    <w:rsid w:val="00655302"/>
    <w:rsid w:val="0069648E"/>
    <w:rsid w:val="006C2045"/>
    <w:rsid w:val="006E3D72"/>
    <w:rsid w:val="006E4F40"/>
    <w:rsid w:val="006F7BE4"/>
    <w:rsid w:val="0072084B"/>
    <w:rsid w:val="008118FB"/>
    <w:rsid w:val="00820B55"/>
    <w:rsid w:val="008871A5"/>
    <w:rsid w:val="0089310E"/>
    <w:rsid w:val="00905AE2"/>
    <w:rsid w:val="009248F5"/>
    <w:rsid w:val="00924E62"/>
    <w:rsid w:val="0098117D"/>
    <w:rsid w:val="00A22EFE"/>
    <w:rsid w:val="00B24476"/>
    <w:rsid w:val="00B53C3F"/>
    <w:rsid w:val="00B737C3"/>
    <w:rsid w:val="00B84A56"/>
    <w:rsid w:val="00BE5F93"/>
    <w:rsid w:val="00BF7EBD"/>
    <w:rsid w:val="00C54ADE"/>
    <w:rsid w:val="00C73A2D"/>
    <w:rsid w:val="00C86917"/>
    <w:rsid w:val="00CA0DBA"/>
    <w:rsid w:val="00D16477"/>
    <w:rsid w:val="00D21542"/>
    <w:rsid w:val="00D64B84"/>
    <w:rsid w:val="00DB735E"/>
    <w:rsid w:val="00E422D3"/>
    <w:rsid w:val="00E86A6A"/>
    <w:rsid w:val="00ED545A"/>
    <w:rsid w:val="00EE28C4"/>
    <w:rsid w:val="00F26A64"/>
    <w:rsid w:val="00F661A7"/>
    <w:rsid w:val="00F76EFA"/>
    <w:rsid w:val="00F831BF"/>
    <w:rsid w:val="00FE3A38"/>
    <w:rsid w:val="00FE4F6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C659B"/>
  <w15:chartTrackingRefBased/>
  <w15:docId w15:val="{48C96F2F-42E8-4D4D-AD44-2FC3CA633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75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275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75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75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75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75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75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75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75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5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4275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75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75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75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75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75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75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7579"/>
    <w:rPr>
      <w:rFonts w:eastAsiaTheme="majorEastAsia" w:cstheme="majorBidi"/>
      <w:color w:val="272727" w:themeColor="text1" w:themeTint="D8"/>
    </w:rPr>
  </w:style>
  <w:style w:type="paragraph" w:styleId="Title">
    <w:name w:val="Title"/>
    <w:basedOn w:val="Normal"/>
    <w:next w:val="Normal"/>
    <w:link w:val="TitleChar"/>
    <w:uiPriority w:val="10"/>
    <w:qFormat/>
    <w:rsid w:val="004275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75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75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75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7579"/>
    <w:pPr>
      <w:spacing w:before="160"/>
      <w:jc w:val="center"/>
    </w:pPr>
    <w:rPr>
      <w:i/>
      <w:iCs/>
      <w:color w:val="404040" w:themeColor="text1" w:themeTint="BF"/>
    </w:rPr>
  </w:style>
  <w:style w:type="character" w:customStyle="1" w:styleId="QuoteChar">
    <w:name w:val="Quote Char"/>
    <w:basedOn w:val="DefaultParagraphFont"/>
    <w:link w:val="Quote"/>
    <w:uiPriority w:val="29"/>
    <w:rsid w:val="00427579"/>
    <w:rPr>
      <w:i/>
      <w:iCs/>
      <w:color w:val="404040" w:themeColor="text1" w:themeTint="BF"/>
    </w:rPr>
  </w:style>
  <w:style w:type="paragraph" w:styleId="ListParagraph">
    <w:name w:val="List Paragraph"/>
    <w:basedOn w:val="Normal"/>
    <w:uiPriority w:val="34"/>
    <w:qFormat/>
    <w:rsid w:val="00427579"/>
    <w:pPr>
      <w:ind w:left="720"/>
      <w:contextualSpacing/>
    </w:pPr>
  </w:style>
  <w:style w:type="character" w:styleId="IntenseEmphasis">
    <w:name w:val="Intense Emphasis"/>
    <w:basedOn w:val="DefaultParagraphFont"/>
    <w:uiPriority w:val="21"/>
    <w:qFormat/>
    <w:rsid w:val="00427579"/>
    <w:rPr>
      <w:i/>
      <w:iCs/>
      <w:color w:val="0F4761" w:themeColor="accent1" w:themeShade="BF"/>
    </w:rPr>
  </w:style>
  <w:style w:type="paragraph" w:styleId="IntenseQuote">
    <w:name w:val="Intense Quote"/>
    <w:basedOn w:val="Normal"/>
    <w:next w:val="Normal"/>
    <w:link w:val="IntenseQuoteChar"/>
    <w:uiPriority w:val="30"/>
    <w:qFormat/>
    <w:rsid w:val="004275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7579"/>
    <w:rPr>
      <w:i/>
      <w:iCs/>
      <w:color w:val="0F4761" w:themeColor="accent1" w:themeShade="BF"/>
    </w:rPr>
  </w:style>
  <w:style w:type="character" w:styleId="IntenseReference">
    <w:name w:val="Intense Reference"/>
    <w:basedOn w:val="DefaultParagraphFont"/>
    <w:uiPriority w:val="32"/>
    <w:qFormat/>
    <w:rsid w:val="00427579"/>
    <w:rPr>
      <w:b/>
      <w:bCs/>
      <w:smallCaps/>
      <w:color w:val="0F4761" w:themeColor="accent1" w:themeShade="BF"/>
      <w:spacing w:val="5"/>
    </w:rPr>
  </w:style>
  <w:style w:type="paragraph" w:styleId="Header">
    <w:name w:val="header"/>
    <w:basedOn w:val="Normal"/>
    <w:link w:val="HeaderChar"/>
    <w:uiPriority w:val="99"/>
    <w:unhideWhenUsed/>
    <w:rsid w:val="004275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579"/>
  </w:style>
  <w:style w:type="paragraph" w:styleId="Footer">
    <w:name w:val="footer"/>
    <w:basedOn w:val="Normal"/>
    <w:link w:val="FooterChar"/>
    <w:uiPriority w:val="99"/>
    <w:unhideWhenUsed/>
    <w:rsid w:val="004275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579"/>
  </w:style>
  <w:style w:type="table" w:styleId="TableGrid">
    <w:name w:val="Table Grid"/>
    <w:basedOn w:val="TableNormal"/>
    <w:uiPriority w:val="39"/>
    <w:rsid w:val="00427579"/>
    <w:pPr>
      <w:spacing w:after="0" w:line="240" w:lineRule="auto"/>
    </w:pPr>
    <w:rPr>
      <w:rFonts w:eastAsiaTheme="minorEastAsia"/>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7579"/>
    <w:rPr>
      <w:color w:val="666666"/>
    </w:rPr>
  </w:style>
  <w:style w:type="table" w:customStyle="1" w:styleId="TableGrid0">
    <w:name w:val="TableGrid"/>
    <w:rsid w:val="006C2045"/>
    <w:pPr>
      <w:spacing w:after="0" w:line="240" w:lineRule="auto"/>
    </w:pPr>
    <w:rPr>
      <w:rFonts w:eastAsiaTheme="minorEastAsia"/>
      <w:kern w:val="2"/>
      <w:sz w:val="24"/>
      <w:szCs w:val="24"/>
    </w:rPr>
    <w:tblPr>
      <w:tblCellMar>
        <w:top w:w="0" w:type="dxa"/>
        <w:left w:w="0" w:type="dxa"/>
        <w:bottom w:w="0" w:type="dxa"/>
        <w:right w:w="0" w:type="dxa"/>
      </w:tblCellMar>
    </w:tblPr>
  </w:style>
  <w:style w:type="character" w:styleId="Hyperlink">
    <w:name w:val="Hyperlink"/>
    <w:basedOn w:val="DefaultParagraphFont"/>
    <w:uiPriority w:val="99"/>
    <w:unhideWhenUsed/>
    <w:rsid w:val="00655302"/>
    <w:rPr>
      <w:color w:val="467886" w:themeColor="hyperlink"/>
      <w:u w:val="single"/>
    </w:rPr>
  </w:style>
  <w:style w:type="character" w:styleId="UnresolvedMention">
    <w:name w:val="Unresolved Mention"/>
    <w:basedOn w:val="DefaultParagraphFont"/>
    <w:uiPriority w:val="99"/>
    <w:semiHidden/>
    <w:unhideWhenUsed/>
    <w:rsid w:val="00655302"/>
    <w:rPr>
      <w:color w:val="605E5C"/>
      <w:shd w:val="clear" w:color="auto" w:fill="E1DFDD"/>
    </w:rPr>
  </w:style>
  <w:style w:type="paragraph" w:styleId="BalloonText">
    <w:name w:val="Balloon Text"/>
    <w:basedOn w:val="Normal"/>
    <w:link w:val="BalloonTextChar"/>
    <w:uiPriority w:val="99"/>
    <w:semiHidden/>
    <w:unhideWhenUsed/>
    <w:rsid w:val="00EE28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8C4"/>
    <w:rPr>
      <w:rFonts w:ascii="Segoe UI" w:hAnsi="Segoe UI" w:cs="Segoe UI"/>
      <w:sz w:val="18"/>
      <w:szCs w:val="18"/>
    </w:rPr>
  </w:style>
  <w:style w:type="character" w:styleId="Strong">
    <w:name w:val="Strong"/>
    <w:basedOn w:val="DefaultParagraphFont"/>
    <w:uiPriority w:val="22"/>
    <w:qFormat/>
    <w:rsid w:val="003462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hsu@hkeaa.edu.hk" TargetMode="External"/><Relationship Id="rId13" Type="http://schemas.openxmlformats.org/officeDocument/2006/relationships/hyperlink" Target="https://doi.org/10.1177/01466210122032064" TargetMode="External"/><Relationship Id="rId18" Type="http://schemas.openxmlformats.org/officeDocument/2006/relationships/hyperlink" Target="http://www.R-project.org/"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orcid.org/0000-0002-4267-0980" TargetMode="External"/><Relationship Id="rId12" Type="http://schemas.openxmlformats.org/officeDocument/2006/relationships/hyperlink" Target="https://protect.checkpoint.com/v2/r04/___https://doi.org/10.3102/1076998607309474___.Y3A0YTpoa2VhYTpjOm86NTdlMTlhMTEyZWM4Y2UzMWNhZDQ1YmE3ZTg2NGExM2Q6NzpkNTIwOmQzNzNiNzAzNDkzYzYxYzllYjgyODYzZmMxOWUyN2RiNWJjMmRlM2UyYjQ5NDMwMDI2YTA2ZWQ2ZGI4ZmE4NDg6cDpUOkY" TargetMode="External"/><Relationship Id="rId17" Type="http://schemas.openxmlformats.org/officeDocument/2006/relationships/hyperlink" Target="https://doi.org/10.1080/00461520.1996.965326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07/978-3-319%2038759-8_18" TargetMode="External"/><Relationship Id="rId20" Type="http://schemas.openxmlformats.org/officeDocument/2006/relationships/hyperlink" Target="https://protect.checkpoint.com/v2/r04/___https://doi.org/10.1177/0146621607300286___.Y3A0YTpoa2VhYTpjOm86NTdlMTlhMTEyZWM4Y2UzMWNhZDQ1YmE3ZTg2NGExM2Q6NzpkY2NkOjEyZmZlOWIzOTc2NTIyZGExMmEzOWY1N2I3MTU2Y2JiNjRiMjhiZmRkMmZhMDg3YWQwYjdjYjI2YzVhOTkwNjQ6cDpUO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1177/0013164417702458" TargetMode="External"/><Relationship Id="rId23" Type="http://schemas.openxmlformats.org/officeDocument/2006/relationships/header" Target="header3.xml"/><Relationship Id="rId10" Type="http://schemas.openxmlformats.org/officeDocument/2006/relationships/image" Target="media/image2.jpg"/><Relationship Id="rId19" Type="http://schemas.openxmlformats.org/officeDocument/2006/relationships/hyperlink" Target="http://www.jstor.org/stable/1434951"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jstor.org/stable/1435314" TargetMode="External"/><Relationship Id="rId22"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2681</Words>
  <Characters>17192</Characters>
  <Application>Microsoft Office Word</Application>
  <DocSecurity>0</DocSecurity>
  <Lines>399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Molenaar</dc:creator>
  <cp:keywords/>
  <dc:description/>
  <cp:lastModifiedBy>Hsu Chia Ling (ATRD)</cp:lastModifiedBy>
  <cp:revision>4</cp:revision>
  <cp:lastPrinted>2025-06-03T03:34:00Z</cp:lastPrinted>
  <dcterms:created xsi:type="dcterms:W3CDTF">2025-06-19T00:37:00Z</dcterms:created>
  <dcterms:modified xsi:type="dcterms:W3CDTF">2025-06-19T00:40:00Z</dcterms:modified>
</cp:coreProperties>
</file>